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4615A8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E61B90">
        <w:rPr>
          <w:rFonts w:ascii="Arial" w:hAnsi="Arial" w:cs="Arial"/>
          <w:sz w:val="24"/>
          <w:szCs w:val="24"/>
        </w:rPr>
        <w:t>Gledson da Silva Magalhães</w:t>
      </w:r>
      <w:r w:rsidR="00CC63E9">
        <w:rPr>
          <w:rFonts w:ascii="Arial" w:hAnsi="Arial" w:cs="Arial"/>
          <w:sz w:val="24"/>
          <w:szCs w:val="24"/>
        </w:rPr>
        <w:t>, bairro Jardim Santa Carolina.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2B830C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4B009F">
        <w:rPr>
          <w:rFonts w:ascii="Arial" w:hAnsi="Arial" w:cs="Arial"/>
          <w:sz w:val="24"/>
          <w:szCs w:val="24"/>
        </w:rPr>
        <w:t>Sumaré, 19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4419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39490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46BD"/>
    <w:rsid w:val="00172F44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15C0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4FFD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490E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09F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5A1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0E61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2D01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7B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607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  <w:rsid w:val="00FF72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2024-02-19T13:12:00Z</dcterms:created>
  <dcterms:modified xsi:type="dcterms:W3CDTF">2024-02-19T13:12:00Z</dcterms:modified>
</cp:coreProperties>
</file>