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3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desconto sobre o valor da tarifa de franquia mensal dos serviços de energia elétrica e água, proporcional aos dias de interrupção de fornecimento n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