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32/2024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32/2024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cassação da Inscrição Municipal de empresas que provoquem maus-tratos aos animais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