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16 de fevereiro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32/2024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32/2024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cassação da Inscrição Municipal de empresas que provoquem maus-tratos aos animais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