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25/2024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25/2024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Torna obrigatória a Prioridade de Atendimento às Mulheres Vítimas de Violência Doméstica e Familiar na Rede Municipal de Saúde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