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Torna obrigatória a Prioridade de Atendimento às Mulheres Vítimas de Violência Doméstica e Familiar na Rede Municipal de Saúde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