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2DD93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4DCE">
        <w:rPr>
          <w:rFonts w:ascii="Arial" w:hAnsi="Arial" w:cs="Arial"/>
          <w:sz w:val="24"/>
          <w:szCs w:val="24"/>
        </w:rPr>
        <w:t>Luiza Pereira de Carvalho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B055D" w14:paraId="14374EFB" w14:textId="3754AD06">
      <w:pPr>
        <w:tabs>
          <w:tab w:val="left" w:pos="426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43183" w:rsidP="00C43183" w14:paraId="5B5C36F9" w14:textId="12E44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D52FB">
        <w:rPr>
          <w:rFonts w:ascii="Arial" w:hAnsi="Arial" w:cs="Arial"/>
          <w:sz w:val="24"/>
          <w:szCs w:val="24"/>
        </w:rPr>
        <w:t>Sumaré, 15 de fevereiro de 2024.</w:t>
      </w:r>
    </w:p>
    <w:p w:rsidR="00ED52FB" w:rsidP="00C43183" w14:paraId="3FD8CFD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D52FB" w:rsidP="00C43183" w14:paraId="49B73C8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919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C57A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24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7FE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62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2C96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57A3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997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55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5FF6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72CE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D68A8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4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1F15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52FB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2024-02-15T12:30:00Z</dcterms:created>
  <dcterms:modified xsi:type="dcterms:W3CDTF">2024-02-15T12:30:00Z</dcterms:modified>
</cp:coreProperties>
</file>