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executivo municipal para promover a abertura de crédito adicional suplementar no orçamento vigente no valor de R$ 3.000,000,00, (três milhões de reais) para os fins que especifica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