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“caput” e o § 1º do art. 152, o §4º e §5º do art. 188, todos da Resolução n° 311, de 16 de dezembro de 2020 (Regimento Interno da Câmara Municipal de Sumaré).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