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20838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68309120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2083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2083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2083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VEREADORES </w:t>
      </w:r>
      <w:r>
        <w:rPr>
          <w:rFonts w:ascii="Bookman Old Style" w:hAnsi="Bookman Old Style"/>
        </w:rPr>
        <w:t>– Altera o “caput” e o § 1º do art. 152, o §4º e §5º do art. 188, todos da Resolução n° 311, de 16 de dezembro de 2020 (Regimento Interno da Câmara Municipal de Sumaré</w:t>
      </w:r>
      <w:proofErr w:type="gramStart"/>
      <w:r>
        <w:rPr>
          <w:rFonts w:ascii="Bookman Old Style" w:hAnsi="Bookman Old Style"/>
        </w:rPr>
        <w:t>)..</w:t>
      </w:r>
      <w:proofErr w:type="gramEnd"/>
    </w:p>
    <w:p w:rsidR="00E5397A" w:rsidRPr="00087890" w:rsidRDefault="00E2083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</w:t>
      </w:r>
      <w:r w:rsidRPr="00087890">
        <w:rPr>
          <w:rFonts w:ascii="Bookman Old Style" w:hAnsi="Bookman Old Style"/>
          <w:color w:val="000000"/>
          <w:sz w:val="22"/>
          <w:szCs w:val="22"/>
        </w:rPr>
        <w:t xml:space="preserve">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2083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E2083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683091203"/>
    </w:p>
    <w:sectPr w:rsidR="00E5397A" w:rsidRPr="0029080B" w:rsidSect="00F0622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38" w:rsidRDefault="00E20838">
      <w:r>
        <w:separator/>
      </w:r>
    </w:p>
  </w:endnote>
  <w:endnote w:type="continuationSeparator" w:id="0">
    <w:p w:rsidR="00E20838" w:rsidRDefault="00E2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2083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20838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38" w:rsidRDefault="00E20838">
      <w:r>
        <w:separator/>
      </w:r>
    </w:p>
  </w:footnote>
  <w:footnote w:type="continuationSeparator" w:id="0">
    <w:p w:rsidR="00E20838" w:rsidRDefault="00E2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2083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EE0ED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CD2A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04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4B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8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23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8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6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2D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75E6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E300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27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9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E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A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89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82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25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20838"/>
    <w:rsid w:val="00E5397A"/>
    <w:rsid w:val="00F06220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6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58F7-A8AA-4CF4-ADA0-5892FF7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2024-02-06T18:21:00Z</cp:lastPrinted>
  <dcterms:created xsi:type="dcterms:W3CDTF">2023-03-03T14:28:00Z</dcterms:created>
  <dcterms:modified xsi:type="dcterms:W3CDTF">2024-02-06T18:21:00Z</dcterms:modified>
</cp:coreProperties>
</file>