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VEREADORES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“Altera a Redação do art. 28, da Resolução nº 282, de 12 de abril de 2017 (Código de Ética e Decoro Parlamentar)”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