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equipar os parques e áreas de lazer com brinquedos adaptados às crianças portadoras de deficiência motora, conforme especifica.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