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129" w:rsidRPr="00C04955" w:rsidP="006B2129" w14:paraId="6A5EE2F7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05</w:t>
      </w: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FEVEREIRO</w:t>
      </w: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2024</w:t>
      </w:r>
    </w:p>
    <w:p w:rsidR="006B2129" w:rsidRPr="00C04955" w:rsidP="006B2129" w14:paraId="55360009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 w:rsidRPr="00C04955">
        <w:rPr>
          <w:rStyle w:val="Strong"/>
          <w:rFonts w:ascii="Cambria" w:hAnsi="Cambria" w:cs="Arial"/>
          <w:b w:val="0"/>
          <w:bCs w:val="0"/>
          <w:i/>
          <w:iCs/>
          <w:color w:val="000000" w:themeColor="text1"/>
          <w:sz w:val="26"/>
          <w:szCs w:val="26"/>
        </w:rPr>
        <w:t>"</w:t>
      </w:r>
      <w:r w:rsidRPr="00C04955">
        <w:rPr>
          <w:rFonts w:ascii="Cambria" w:hAnsi="Cambria"/>
          <w:b/>
          <w:bCs/>
          <w:i/>
          <w:iCs/>
          <w:sz w:val="26"/>
          <w:szCs w:val="26"/>
        </w:rPr>
        <w:t xml:space="preserve">Dispõe sobre a instituição do </w:t>
      </w:r>
      <w:r>
        <w:rPr>
          <w:rFonts w:ascii="Cambria" w:hAnsi="Cambria"/>
          <w:b/>
          <w:bCs/>
          <w:i/>
          <w:iCs/>
          <w:sz w:val="26"/>
          <w:szCs w:val="26"/>
        </w:rPr>
        <w:t>“</w:t>
      </w:r>
      <w:bookmarkStart w:id="1" w:name="_GoBack"/>
      <w:r w:rsidRPr="00C04955">
        <w:rPr>
          <w:rFonts w:ascii="Cambria" w:hAnsi="Cambria"/>
          <w:b/>
          <w:bCs/>
          <w:i/>
          <w:iCs/>
          <w:sz w:val="26"/>
          <w:szCs w:val="26"/>
        </w:rPr>
        <w:t>Programa de Atendimento Prioritário a Pessoas com Síndrome de Down</w:t>
      </w:r>
      <w:bookmarkEnd w:id="1"/>
      <w:r w:rsidRPr="00C04955">
        <w:rPr>
          <w:rFonts w:ascii="Cambria" w:hAnsi="Cambria"/>
          <w:b/>
          <w:bCs/>
          <w:i/>
          <w:iCs/>
          <w:sz w:val="26"/>
          <w:szCs w:val="26"/>
        </w:rPr>
        <w:t xml:space="preserve"> (SD) nos Serviços de Saúde do Município de Sumaré</w:t>
      </w:r>
      <w:r>
        <w:rPr>
          <w:rFonts w:ascii="Cambria" w:hAnsi="Cambria"/>
          <w:b/>
          <w:bCs/>
          <w:i/>
          <w:iCs/>
          <w:sz w:val="26"/>
          <w:szCs w:val="26"/>
        </w:rPr>
        <w:t>”</w:t>
      </w:r>
      <w:r w:rsidRPr="00C04955">
        <w:rPr>
          <w:rFonts w:ascii="Cambria" w:hAnsi="Cambria"/>
          <w:b/>
          <w:bCs/>
          <w:i/>
          <w:iCs/>
          <w:sz w:val="26"/>
          <w:szCs w:val="26"/>
        </w:rPr>
        <w:t xml:space="preserve"> e dá outras providências</w:t>
      </w:r>
      <w:r w:rsidRPr="00C04955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”.</w:t>
      </w:r>
    </w:p>
    <w:p w:rsidR="006B2129" w:rsidRPr="00C04955" w:rsidP="006B2129" w14:paraId="13AC3F1A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6B2129" w:rsidRPr="00C04955" w:rsidP="006B2129" w14:paraId="51FD7627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6B2129" w:rsidRPr="00C04955" w:rsidP="006B2129" w14:paraId="03AA885E" w14:textId="77777777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C04955">
        <w:rPr>
          <w:rFonts w:ascii="Cambria" w:hAnsi="Cambria"/>
          <w:color w:val="000000" w:themeColor="text1"/>
          <w:sz w:val="26"/>
          <w:szCs w:val="26"/>
        </w:rPr>
        <w:tab/>
      </w:r>
      <w:r w:rsidRPr="00C04955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:rsidR="006B2129" w:rsidRPr="00C04955" w:rsidP="006B2129" w14:paraId="403E3B9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Art. 1º -</w:t>
      </w:r>
      <w:r w:rsidRPr="00C04955">
        <w:rPr>
          <w:rFonts w:ascii="Cambria" w:hAnsi="Cambria"/>
          <w:sz w:val="26"/>
          <w:szCs w:val="26"/>
        </w:rPr>
        <w:t xml:space="preserve"> Fica instituído o Programa de Atendimento Prioritário a Pessoas com Síndrome de Down (SD) nos Serviços de Saúde do Município de Sumaré, com o objetivo de garantir o acesso a serviços de saúde de qualidade para pessoas com SD.</w:t>
      </w:r>
    </w:p>
    <w:p w:rsidR="006B2129" w:rsidRPr="00C04955" w:rsidP="006B2129" w14:paraId="2E80E79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Art. 2º -</w:t>
      </w:r>
      <w:r w:rsidRPr="00C04955">
        <w:rPr>
          <w:rFonts w:ascii="Cambria" w:hAnsi="Cambria"/>
          <w:sz w:val="26"/>
          <w:szCs w:val="26"/>
        </w:rPr>
        <w:t xml:space="preserve"> O Programa será coordenado pela Secretaria Municipal de Saúde, em conjunto com as demais secretarias municipais.</w:t>
      </w:r>
    </w:p>
    <w:p w:rsidR="006B2129" w:rsidRPr="00C04955" w:rsidP="006B2129" w14:paraId="2241A6F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Art. 3º -</w:t>
      </w:r>
      <w:r w:rsidRPr="00C04955">
        <w:rPr>
          <w:rFonts w:ascii="Cambria" w:hAnsi="Cambria"/>
          <w:sz w:val="26"/>
          <w:szCs w:val="26"/>
        </w:rPr>
        <w:t xml:space="preserve"> O Programa prevê as seguintes ações:</w:t>
      </w:r>
    </w:p>
    <w:p w:rsidR="006B2129" w:rsidRPr="00C04955" w:rsidP="006B2129" w14:paraId="4BAEDEB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I -</w:t>
      </w:r>
      <w:r w:rsidRPr="00C04955">
        <w:rPr>
          <w:rFonts w:ascii="Cambria" w:hAnsi="Cambria"/>
          <w:sz w:val="26"/>
          <w:szCs w:val="26"/>
        </w:rPr>
        <w:t xml:space="preserve"> Atendimento prioritário em consultas médicas, exames e          </w:t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  <w:t>procedimentos, nos serviços de saúde do município;</w:t>
      </w:r>
    </w:p>
    <w:p w:rsidR="006B2129" w:rsidRPr="00C04955" w:rsidP="006B2129" w14:paraId="0EA2166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II -</w:t>
      </w:r>
      <w:r w:rsidRPr="00C04955">
        <w:rPr>
          <w:rFonts w:ascii="Cambria" w:hAnsi="Cambria"/>
          <w:sz w:val="26"/>
          <w:szCs w:val="26"/>
        </w:rPr>
        <w:t xml:space="preserve"> Oferta de serviços de reabilitação e terapia, nos serviços de              </w:t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  <w:t>saúde do município;</w:t>
      </w:r>
    </w:p>
    <w:p w:rsidR="006B2129" w:rsidRPr="00C04955" w:rsidP="006B2129" w14:paraId="7B4228A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III -</w:t>
      </w:r>
      <w:r w:rsidRPr="00C04955">
        <w:rPr>
          <w:rFonts w:ascii="Cambria" w:hAnsi="Cambria"/>
          <w:sz w:val="26"/>
          <w:szCs w:val="26"/>
        </w:rPr>
        <w:t xml:space="preserve"> Capacitação de profissionais de saúde para atender às                   </w:t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  <w:t>necessidades das pessoas com SD.</w:t>
      </w:r>
    </w:p>
    <w:p w:rsidR="006B2129" w:rsidRPr="00C04955" w:rsidP="006B2129" w14:paraId="341FB56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Art. 4º -</w:t>
      </w:r>
      <w:r w:rsidRPr="00C04955">
        <w:rPr>
          <w:rFonts w:ascii="Cambria" w:hAnsi="Cambria"/>
          <w:sz w:val="26"/>
          <w:szCs w:val="26"/>
        </w:rPr>
        <w:t xml:space="preserve"> O atendimento prioritário será concedido às pessoas com SD, mediante apresentação de documento comprobatório, nos termos de regulamento a ser expedido pela Secretaria Municipal de Saúde.</w:t>
      </w:r>
    </w:p>
    <w:p w:rsidR="006B2129" w:rsidRPr="00C04955" w:rsidP="006B2129" w14:paraId="3F7F767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>Art. 5º -</w:t>
      </w:r>
      <w:r w:rsidRPr="00C04955">
        <w:rPr>
          <w:rFonts w:ascii="Cambria" w:hAnsi="Cambria"/>
          <w:sz w:val="26"/>
          <w:szCs w:val="26"/>
        </w:rPr>
        <w:t xml:space="preserve"> Os serviços de reabilitação e terapia serão ofertados de acordo com as necessidades específicas de cada pessoa com SD.</w:t>
      </w:r>
    </w:p>
    <w:p w:rsidR="006B2129" w:rsidRPr="00C04955" w:rsidP="006B2129" w14:paraId="17F01CE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 xml:space="preserve">Art. 6º - </w:t>
      </w:r>
      <w:r w:rsidRPr="00C04955">
        <w:rPr>
          <w:rFonts w:ascii="Cambria" w:hAnsi="Cambria"/>
          <w:sz w:val="26"/>
          <w:szCs w:val="26"/>
        </w:rPr>
        <w:t>A capacitação de profissionais de saúde será realizada pela Secretaria Municipal de Saúde, em conjunto com instituições de ensino e pesquisa.</w:t>
      </w:r>
    </w:p>
    <w:p w:rsidR="006B2129" w:rsidRPr="00C04955" w:rsidP="006B2129" w14:paraId="71919EC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b/>
          <w:bCs/>
          <w:sz w:val="26"/>
          <w:szCs w:val="26"/>
        </w:rPr>
        <w:t xml:space="preserve">Art. 7º - </w:t>
      </w:r>
      <w:r w:rsidRPr="00C04955">
        <w:rPr>
          <w:rFonts w:ascii="Cambria" w:hAnsi="Cambria"/>
          <w:sz w:val="26"/>
          <w:szCs w:val="26"/>
        </w:rPr>
        <w:t>Esta lei entra em vigor na data de sua publicação.</w:t>
      </w:r>
    </w:p>
    <w:p w:rsidR="006B2129" w:rsidRPr="00C04955" w:rsidP="006B2129" w14:paraId="7A8663A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6B2129" w:rsidRPr="00C04955" w:rsidP="006B2129" w14:paraId="10AB0D6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>Sala das Sessões, 05 de fevereiro de 2024</w:t>
      </w:r>
    </w:p>
    <w:p w:rsidR="006B2129" w:rsidRPr="00C04955" w:rsidP="006B2129" w14:paraId="0D2E5116" w14:textId="77777777">
      <w:pPr>
        <w:rPr>
          <w:color w:val="000000" w:themeColor="text1"/>
          <w:sz w:val="26"/>
          <w:szCs w:val="26"/>
        </w:rPr>
      </w:pPr>
    </w:p>
    <w:p w:rsidR="006B2129" w:rsidRPr="00C04955" w:rsidP="006B2129" w14:paraId="44E96799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>WILLIAN SOUZA</w:t>
      </w:r>
    </w:p>
    <w:p w:rsidR="006B2129" w:rsidRPr="00C04955" w:rsidP="006B2129" w14:paraId="493831AC" w14:textId="77777777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C04955"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:rsidR="006B2129" w:rsidRPr="00C04955" w:rsidP="006B2129" w14:paraId="0BD66C34" w14:textId="76DBCE95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C04955">
        <w:rPr>
          <w:rFonts w:ascii="Cambria" w:hAnsi="Cambria"/>
          <w:color w:val="000000" w:themeColor="text1"/>
          <w:sz w:val="26"/>
          <w:szCs w:val="26"/>
        </w:rPr>
        <w:t>Líder</w:t>
      </w:r>
      <w:r w:rsidRPr="00C04955">
        <w:rPr>
          <w:rFonts w:ascii="Cambria" w:hAnsi="Cambria"/>
          <w:color w:val="000000" w:themeColor="text1"/>
          <w:sz w:val="26"/>
          <w:szCs w:val="26"/>
        </w:rPr>
        <w:t xml:space="preserve"> de Governo </w:t>
      </w:r>
    </w:p>
    <w:p w:rsidR="006B2129" w:rsidP="006B2129" w14:paraId="3C01BCC4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29B375AF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64B6832E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8D355ED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6E94333F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67EE309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0CD8A085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6D92D665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3537D6D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3A3A5445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6ABFA432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550AF6C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20AAA16A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CFF26EA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7384BCD1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64C87A6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00FCD089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7DD8DA74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03418750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03F0A7C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26090F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0DA59216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23E21C0D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345AF232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200A28F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P="006B2129" w14:paraId="40D2DD3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6B2129" w:rsidRPr="001B488B" w:rsidP="006B2129" w14:paraId="747DF52D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8"/>
          <w:szCs w:val="28"/>
        </w:rPr>
      </w:pPr>
      <w:r w:rsidRPr="001B488B">
        <w:rPr>
          <w:rStyle w:val="Strong"/>
          <w:rFonts w:ascii="Cambria" w:hAnsi="Cambria" w:cs="Arial"/>
          <w:color w:val="000000" w:themeColor="text1"/>
          <w:sz w:val="28"/>
          <w:szCs w:val="28"/>
        </w:rPr>
        <w:t>J U S T I F I C A T I V A</w:t>
      </w:r>
    </w:p>
    <w:p w:rsidR="006B2129" w:rsidRPr="00E14D48" w:rsidP="006B2129" w14:paraId="1F33A9E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6C16BF">
        <w:rPr>
          <w:rFonts w:ascii="Arial" w:eastAsia="Times New Roman" w:hAnsi="Arial" w:cs="Arial"/>
          <w:color w:val="1F1F1F"/>
          <w:sz w:val="24"/>
          <w:szCs w:val="24"/>
          <w:lang w:eastAsia="pt-BR"/>
        </w:rPr>
        <w:t xml:space="preserve">A síndrome de Down é uma condição genética que afeta o </w:t>
      </w:r>
      <w:r w:rsidRPr="00E14D48">
        <w:rPr>
          <w:rFonts w:ascii="Cambria" w:hAnsi="Cambria"/>
          <w:sz w:val="26"/>
          <w:szCs w:val="26"/>
        </w:rPr>
        <w:t>desenvolvimento intelectual e físico. Pode causar uma variedade de desafios, tanto para a pessoa com síndrome de Down quanto para sua família.</w:t>
      </w:r>
    </w:p>
    <w:p w:rsidR="006B2129" w:rsidRPr="00E14D48" w:rsidP="006B2129" w14:paraId="1C099B6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E14D48">
        <w:rPr>
          <w:rFonts w:ascii="Cambria" w:hAnsi="Cambria"/>
          <w:sz w:val="26"/>
          <w:szCs w:val="26"/>
        </w:rPr>
        <w:t>O acesso a serviços de saúde de qualidade é fundamental para garantir a saúde e o bem-estar das pessoas com síndrome de Down. No entanto, essas pessoas podem enfrentar desafios para acessar esses serviços, como a falta de acessibilidade e a falta de profissionais capacitados.</w:t>
      </w:r>
    </w:p>
    <w:p w:rsidR="006B2129" w:rsidRPr="00E14D48" w:rsidP="006B2129" w14:paraId="379C40E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E14D48">
        <w:rPr>
          <w:rFonts w:ascii="Cambria" w:hAnsi="Cambria"/>
          <w:sz w:val="26"/>
          <w:szCs w:val="26"/>
        </w:rPr>
        <w:t>O Programa de Atendimento Prioritário a Pessoas com Síndrome de Down (SD) nos Serviços de Saúde do Município de Sumaré visa garantir o acesso a serviços de saúde de qualidade para pessoas com SD. O Programa prevê o atendimento prioritário em consultas médicas, exames e procedimentos, além da oferta de serviços de reabilitação e terapia.</w:t>
      </w:r>
    </w:p>
    <w:p w:rsidR="006B2129" w:rsidRPr="00E14D48" w:rsidP="006B2129" w14:paraId="00736A8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E14D48">
        <w:rPr>
          <w:rFonts w:ascii="Cambria" w:hAnsi="Cambria"/>
          <w:sz w:val="26"/>
          <w:szCs w:val="26"/>
        </w:rPr>
        <w:t>Acreditamos que essas ações contribuirão para que as pessoas com síndrome de Down tenham acesso aos serviços de saúde de que precisam, o que levará a uma melhor qualidade de vida para essas pessoas e suas famílias.</w:t>
      </w:r>
    </w:p>
    <w:p w:rsidR="006B2129" w:rsidRPr="00B64528" w:rsidP="006B2129" w14:paraId="66CAEA93" w14:textId="77777777"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6B2129" w:rsidRPr="00E14D48" w:rsidP="006B2129" w14:paraId="1195FD52" w14:textId="77777777"/>
    <w:p w:rsidR="006B2129" w:rsidRPr="00E14D48" w:rsidP="006B2129" w14:paraId="4223F1A7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14D48">
        <w:rPr>
          <w:rFonts w:ascii="Cambria" w:hAnsi="Cambria"/>
          <w:b/>
          <w:bCs/>
          <w:color w:val="000000" w:themeColor="text1"/>
          <w:sz w:val="26"/>
          <w:szCs w:val="26"/>
        </w:rPr>
        <w:t>WILLIAN SOUZA</w:t>
      </w:r>
    </w:p>
    <w:p w:rsidR="006B2129" w:rsidRPr="00E14D48" w:rsidP="006B2129" w14:paraId="77FA7CB7" w14:textId="77777777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14D48"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:rsidR="006B2129" w:rsidRPr="00E14D48" w:rsidP="006B2129" w14:paraId="5F8F6BA5" w14:textId="355E2C91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14D48">
        <w:rPr>
          <w:rFonts w:ascii="Cambria" w:hAnsi="Cambria"/>
          <w:color w:val="000000" w:themeColor="text1"/>
          <w:sz w:val="26"/>
          <w:szCs w:val="26"/>
        </w:rPr>
        <w:t>Líder</w:t>
      </w:r>
      <w:r w:rsidRPr="00E14D48">
        <w:rPr>
          <w:rFonts w:ascii="Cambria" w:hAnsi="Cambria"/>
          <w:color w:val="000000" w:themeColor="text1"/>
          <w:sz w:val="26"/>
          <w:szCs w:val="26"/>
        </w:rPr>
        <w:t xml:space="preserve"> de Governo </w:t>
      </w:r>
    </w:p>
    <w:permEnd w:id="0"/>
    <w:p w:rsidR="006D1E9A" w:rsidRPr="006B2129" w:rsidP="006B2129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B488B"/>
    <w:rsid w:val="001D434B"/>
    <w:rsid w:val="001F5F99"/>
    <w:rsid w:val="00217EE6"/>
    <w:rsid w:val="0022050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93120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B2129"/>
    <w:rsid w:val="006C16BF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64528"/>
    <w:rsid w:val="00B96DAA"/>
    <w:rsid w:val="00BC0CBB"/>
    <w:rsid w:val="00BE66DC"/>
    <w:rsid w:val="00BF20D1"/>
    <w:rsid w:val="00C00C1E"/>
    <w:rsid w:val="00C04955"/>
    <w:rsid w:val="00C16618"/>
    <w:rsid w:val="00C2625B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14D48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93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5607-FBC4-46EA-865C-E8511206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2468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2024-02-05T18:20:00Z</dcterms:created>
  <dcterms:modified xsi:type="dcterms:W3CDTF">2024-02-05T18:20:00Z</dcterms:modified>
</cp:coreProperties>
</file>