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7/2023 - “Modifica os artigos 18, 37, 132, 285 e cria o parágrafo 3º no artigo 285 do Projeto de Lei nº 307, de 21 de novembro de 2023, de autoria do Prefeito Luiz Alfredo Castro Ruzza Dalben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