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302/2023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LUIZ ALFREDO CASTRO RUZZA DALBEN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Dispõe sobre o Plano Diretor de Desenvolvimento Sustentável do Município de Sumaré (PDDSS).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