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Proposta de Emenda à Lei Orgânica Nº 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Inclui o artigo 233-A na Lei Orgânica do Município de Sumaré, para adotar no processo legislativo orçamentário municipal as emendas impositivas individuais de vereadores e de bancadas, previstas na Emenda Constitucional nº 86, de 17 de março de 2015; Emenda  Constitucional nº 100, de 26 de junho de 2019; e na Emenda Constitucional nº 126, de 21 de dezembro de 2022;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8296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82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