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Proposta de Emenda à Lei Orgânica Nº 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Inclui o artigo 233-A na Lei Orgânica do Município de Sumaré, para adotar no processo legislativo orçamentário municipal as emendas impositivas individuais de vereadores e de bancadas, previstas na Emenda Constitucional nº 86, de 17 de março de 2015; Emenda  Constitucional nº 100, de 26 de junho de 2019; e na Emenda Constitucional nº 126, de 21 de dezembro de 2022;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829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829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