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o artigo 233-A na Lei Orgânica do Município de Sumaré, para adotar no processo legislativo orçamentário municipal as emendas impositivas individuais de vereadores e de bancadas, previstas na Emenda Constitucional nº 86, de 17 de março de 2015; Emenda  Constitucional nº 100, de 26 de junho de 2019; e na Emenda Constitucional nº 126, de 21 de dezembro de 2022;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