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, VALDIR DE OLIVEIRA, JOÃO MAIOR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tualização da Lei Municipal nº 6.006/2017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