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atualização da Lei Municipal nº 6.006/2017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