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Resolução Nº 12/2023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SILVIO COLTRO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A REDAÇÃO DO PARÁGRAFO ÚNICO DO INCISO I DO ARTIGO 305, E REVOGA O PARÁGRAFO ÚNICO DO ARTIGO 307 DA RESOLUÇÃO N° 311, DE 16 DE DEZEMBRO DE 2020 (REGIMENTO INTERNO DA CÂMARA MUNICIPAL DE SUMARÉ).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886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88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