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Resolução Nº 12/2023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SILVIO COLTRO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A REDAÇÃO DO PARÁGRAFO ÚNICO DO INCISO I DO ARTIGO 305, E REVOGA O PARÁGRAFO ÚNICO DO ARTIGO 307 DA RESOLUÇÃO N° 311, DE 16 DE DEZEMBRO DE 2020 (REGIMENTO INTERNO DA CÂMARA MUNICIPAL DE SUMARÉ).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86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8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