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PARÁGRAFO ÚNICO DO INCISO I DO ARTIGO 305, E REVOGA O PARÁGRAFO ÚNICO DO ARTIGO 307 DA RESOLUÇÃO N° 311, DE 16 DE DEZEMBRO DE 2020 (REGIMENTO INTERNO DA CÂMARA MUNICIPAL DE SUMARÉ).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