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REDAÇÃO DO PARÁGRAFO ÚNICO DO INCISO I DO ARTIGO 305, E REVOGA O PARÁGRAFO ÚNICO DO ARTIGO 307 DA RESOLUÇÃO N° 311, DE 16 DE DEZEMBRO DE 2020 (REGIMENTO INTERNO DA CÂMARA MUNICIPAL DE SUMARÉ).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