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, VEREADORE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crescenta dispositivos que menciona a Lei Municipal nº 4967, de 30 de abril de 2010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