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9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, VEREADOR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crescenta dispositivos que menciona a Lei Municipal nº 4967, de 30 de abril de 2010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