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, VEREADOR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crescenta dispositivos que menciona a Lei Municipal nº 4967, de 30 de abril de 2010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