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, VEREADO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dispositivos que menciona a Lei Municipal nº 4967, de 30 de abril de 2010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