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alação, manutenção, conservação e exploração publicitaria em bens públicos municipais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