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nstalação, manutenção, conservação e exploração publicitaria em bens públicos municipais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