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6E94" w:rsidRPr="00CC0090" w:rsidP="00122EE4" w14:paraId="3C1557A2" w14:textId="10178CCC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Arial" w:hAnsi="Arial" w:cs="Arial"/>
          <w:spacing w:val="2"/>
        </w:rPr>
      </w:pPr>
      <w:r w:rsidRPr="00CC0090">
        <w:rPr>
          <w:rFonts w:ascii="Arial" w:hAnsi="Arial" w:cs="Arial"/>
          <w:b/>
          <w:bCs/>
          <w:spacing w:val="2"/>
        </w:rPr>
        <w:t xml:space="preserve">PROJETO DE LEI N°___________ DE </w:t>
      </w:r>
      <w:r w:rsidRPr="00CC0090" w:rsidR="00CC0090">
        <w:rPr>
          <w:rFonts w:ascii="Arial" w:hAnsi="Arial" w:cs="Arial"/>
          <w:b/>
          <w:bCs/>
          <w:spacing w:val="2"/>
        </w:rPr>
        <w:t>18</w:t>
      </w:r>
      <w:r w:rsidRPr="00CC0090">
        <w:rPr>
          <w:rFonts w:ascii="Arial" w:hAnsi="Arial" w:cs="Arial"/>
          <w:b/>
          <w:bCs/>
          <w:spacing w:val="2"/>
        </w:rPr>
        <w:t xml:space="preserve"> DE </w:t>
      </w:r>
      <w:r w:rsidRPr="00CC0090" w:rsidR="00CC0090">
        <w:rPr>
          <w:rFonts w:ascii="Arial" w:hAnsi="Arial" w:cs="Arial"/>
          <w:b/>
          <w:bCs/>
          <w:spacing w:val="2"/>
        </w:rPr>
        <w:t>MARÇO</w:t>
      </w:r>
      <w:r w:rsidRPr="00CC0090">
        <w:rPr>
          <w:rFonts w:ascii="Arial" w:hAnsi="Arial" w:cs="Arial"/>
          <w:b/>
          <w:bCs/>
          <w:spacing w:val="2"/>
        </w:rPr>
        <w:t xml:space="preserve"> DE 2021</w:t>
      </w:r>
    </w:p>
    <w:p w:rsidR="00066E94" w:rsidRPr="00CC0090" w:rsidP="00066E94" w14:paraId="19CFC6A2" w14:textId="77777777">
      <w:pPr>
        <w:pStyle w:val="BodyTextIndent"/>
        <w:ind w:left="0"/>
        <w:rPr>
          <w:rFonts w:ascii="Arial" w:hAnsi="Arial" w:cs="Arial"/>
          <w:b/>
        </w:rPr>
      </w:pPr>
    </w:p>
    <w:p w:rsidR="00066E94" w:rsidRPr="00CC0090" w:rsidP="00127678" w14:paraId="5303F417" w14:textId="6C967D41">
      <w:pPr>
        <w:pStyle w:val="BodyTextIndent"/>
        <w:spacing w:line="360" w:lineRule="auto"/>
        <w:ind w:left="4536" w:firstLine="5"/>
        <w:rPr>
          <w:rFonts w:ascii="Arial" w:hAnsi="Arial" w:cs="Arial"/>
          <w:b/>
        </w:rPr>
      </w:pPr>
      <w:bookmarkStart w:id="0" w:name="_GoBack"/>
      <w:r w:rsidRPr="00CC0090">
        <w:rPr>
          <w:rFonts w:ascii="Arial" w:hAnsi="Arial" w:cs="Arial"/>
          <w:b/>
        </w:rPr>
        <w:t xml:space="preserve">Altera dispositivos da Lei </w:t>
      </w:r>
      <w:r w:rsidRPr="00CC0090" w:rsidR="00E67C27">
        <w:rPr>
          <w:rFonts w:ascii="Arial" w:hAnsi="Arial" w:cs="Arial"/>
          <w:b/>
        </w:rPr>
        <w:t>n</w:t>
      </w:r>
      <w:r w:rsidRPr="00CC0090">
        <w:rPr>
          <w:rFonts w:ascii="Arial" w:hAnsi="Arial" w:cs="Arial"/>
          <w:b/>
        </w:rPr>
        <w:t>° 4.169, de 12 de maio de 2006</w:t>
      </w:r>
      <w:r w:rsidRPr="00CC0090" w:rsidR="00E67C27">
        <w:rPr>
          <w:rFonts w:ascii="Arial" w:hAnsi="Arial" w:cs="Arial"/>
          <w:b/>
        </w:rPr>
        <w:t>, que dispõe sobre a Limpeza Pública do Município de Sumaré, e dá outras providências</w:t>
      </w:r>
      <w:bookmarkEnd w:id="0"/>
      <w:r w:rsidRPr="00CC0090" w:rsidR="00E67C27">
        <w:rPr>
          <w:rFonts w:ascii="Arial" w:hAnsi="Arial" w:cs="Arial"/>
          <w:b/>
        </w:rPr>
        <w:t>.</w:t>
      </w:r>
    </w:p>
    <w:p w:rsidR="00066E94" w:rsidRPr="00CC0090" w:rsidP="00127678" w14:paraId="0246EBAA" w14:textId="02A9A187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Arial" w:hAnsi="Arial" w:cs="Arial"/>
          <w:spacing w:val="2"/>
        </w:rPr>
      </w:pPr>
      <w:r w:rsidRPr="00CC0090">
        <w:rPr>
          <w:rFonts w:ascii="Arial" w:hAnsi="Arial" w:cs="Arial"/>
          <w:spacing w:val="2"/>
        </w:rPr>
        <w:t xml:space="preserve">Autor: </w:t>
      </w:r>
      <w:r w:rsidRPr="00CC0090">
        <w:rPr>
          <w:rFonts w:ascii="Arial" w:hAnsi="Arial" w:cs="Arial"/>
          <w:b/>
          <w:spacing w:val="2"/>
        </w:rPr>
        <w:t>Andr</w:t>
      </w:r>
      <w:r w:rsidRPr="00CC0090" w:rsidR="004306F2">
        <w:rPr>
          <w:rFonts w:ascii="Arial" w:hAnsi="Arial" w:cs="Arial"/>
          <w:b/>
          <w:spacing w:val="2"/>
        </w:rPr>
        <w:t>e</w:t>
      </w:r>
      <w:r w:rsidRPr="00CC0090">
        <w:rPr>
          <w:rFonts w:ascii="Arial" w:hAnsi="Arial" w:cs="Arial"/>
          <w:b/>
          <w:spacing w:val="2"/>
        </w:rPr>
        <w:t xml:space="preserve"> Fernandes Pereira</w:t>
      </w:r>
    </w:p>
    <w:p w:rsidR="00066E94" w:rsidRPr="00CC0090" w:rsidP="00066E94" w14:paraId="75CB951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066E94" w:rsidRPr="00CC0090" w:rsidP="00066E94" w14:paraId="1E22DC37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 w:rsidRPr="00CC0090">
        <w:rPr>
          <w:rFonts w:ascii="Arial" w:hAnsi="Arial" w:cs="Arial"/>
          <w:b/>
          <w:bCs/>
          <w:spacing w:val="2"/>
        </w:rPr>
        <w:t xml:space="preserve">                         </w:t>
      </w:r>
    </w:p>
    <w:p w:rsidR="00066E94" w:rsidRPr="00CC0090" w:rsidP="001911A8" w14:paraId="31489B8D" w14:textId="46428F36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 w:rsidRPr="00CC0090">
        <w:rPr>
          <w:rFonts w:ascii="Arial" w:hAnsi="Arial" w:cs="Arial"/>
          <w:spacing w:val="2"/>
        </w:rPr>
        <w:t xml:space="preserve">No uso das atribuições </w:t>
      </w:r>
      <w:r w:rsidRPr="00CC0090" w:rsidR="0036532D">
        <w:rPr>
          <w:rFonts w:ascii="Arial" w:hAnsi="Arial" w:cs="Arial"/>
          <w:spacing w:val="2"/>
        </w:rPr>
        <w:t>conferidas pelo</w:t>
      </w:r>
      <w:r w:rsidRPr="00CC0090">
        <w:rPr>
          <w:rFonts w:ascii="Arial" w:hAnsi="Arial" w:cs="Arial"/>
          <w:spacing w:val="2"/>
        </w:rPr>
        <w:t xml:space="preserve"> Regimento Interno desta Casa de Lei</w:t>
      </w:r>
      <w:r w:rsidRPr="00CC0090" w:rsidR="003A706D">
        <w:rPr>
          <w:rFonts w:ascii="Arial" w:hAnsi="Arial" w:cs="Arial"/>
          <w:spacing w:val="2"/>
        </w:rPr>
        <w:t>s, submet</w:t>
      </w:r>
      <w:r w:rsidRPr="00CC0090" w:rsidR="0011551E">
        <w:rPr>
          <w:rFonts w:ascii="Arial" w:hAnsi="Arial" w:cs="Arial"/>
          <w:spacing w:val="2"/>
        </w:rPr>
        <w:t>o</w:t>
      </w:r>
      <w:r w:rsidRPr="00CC0090" w:rsidR="003A706D">
        <w:rPr>
          <w:rFonts w:ascii="Arial" w:hAnsi="Arial" w:cs="Arial"/>
          <w:spacing w:val="2"/>
        </w:rPr>
        <w:t xml:space="preserve"> à apreciação do Plenário o seguinte Projeto</w:t>
      </w:r>
      <w:r w:rsidRPr="00CC0090" w:rsidR="000C7434">
        <w:rPr>
          <w:rFonts w:ascii="Arial" w:hAnsi="Arial" w:cs="Arial"/>
          <w:spacing w:val="2"/>
        </w:rPr>
        <w:t xml:space="preserve"> para as seguintes alterações</w:t>
      </w:r>
      <w:r w:rsidRPr="00CC0090" w:rsidR="00A26CC0">
        <w:rPr>
          <w:rFonts w:ascii="Arial" w:hAnsi="Arial" w:cs="Arial"/>
          <w:spacing w:val="2"/>
        </w:rPr>
        <w:t xml:space="preserve"> na Lei n° 4.169, de 12 de maio de 2006</w:t>
      </w:r>
      <w:r w:rsidRPr="00CC0090" w:rsidR="00073362">
        <w:rPr>
          <w:rFonts w:ascii="Arial" w:hAnsi="Arial" w:cs="Arial"/>
          <w:spacing w:val="2"/>
        </w:rPr>
        <w:t>:</w:t>
      </w:r>
    </w:p>
    <w:p w:rsidR="00A26CC0" w:rsidRPr="00CC0090" w:rsidP="001911A8" w14:paraId="142F95BE" w14:textId="77777777">
      <w:pPr>
        <w:pStyle w:val="Corpo"/>
        <w:spacing w:line="276" w:lineRule="auto"/>
        <w:ind w:firstLine="0"/>
        <w:rPr>
          <w:rFonts w:ascii="Arial" w:hAnsi="Arial" w:cs="Arial"/>
          <w:b/>
          <w:bCs/>
          <w:szCs w:val="24"/>
        </w:rPr>
      </w:pPr>
      <w:bookmarkStart w:id="1" w:name="_Hlk63447396"/>
    </w:p>
    <w:p w:rsidR="00073362" w:rsidRPr="00CC0090" w:rsidP="001911A8" w14:paraId="531E9434" w14:textId="461E51A9">
      <w:pPr>
        <w:pStyle w:val="Corpo"/>
        <w:spacing w:line="276" w:lineRule="auto"/>
        <w:ind w:firstLine="0"/>
        <w:rPr>
          <w:rFonts w:ascii="Arial" w:hAnsi="Arial" w:cs="Arial"/>
          <w:szCs w:val="24"/>
        </w:rPr>
      </w:pPr>
      <w:r w:rsidRPr="00CC0090">
        <w:rPr>
          <w:rFonts w:ascii="Arial" w:hAnsi="Arial" w:cs="Arial"/>
          <w:b/>
          <w:bCs/>
          <w:szCs w:val="24"/>
        </w:rPr>
        <w:t>Art. 1º</w:t>
      </w:r>
      <w:r w:rsidRPr="00CC0090">
        <w:rPr>
          <w:rFonts w:ascii="Arial" w:hAnsi="Arial" w:cs="Arial"/>
          <w:szCs w:val="24"/>
        </w:rPr>
        <w:t xml:space="preserve"> </w:t>
      </w:r>
      <w:r w:rsidRPr="00CC0090">
        <w:rPr>
          <w:rFonts w:ascii="Arial" w:hAnsi="Arial" w:cs="Arial"/>
          <w:szCs w:val="24"/>
        </w:rPr>
        <w:t>Altera o</w:t>
      </w:r>
      <w:r w:rsidRPr="00CC0090" w:rsidR="00880306">
        <w:rPr>
          <w:rFonts w:ascii="Arial" w:hAnsi="Arial" w:cs="Arial"/>
          <w:szCs w:val="24"/>
        </w:rPr>
        <w:t xml:space="preserve"> texto do</w:t>
      </w:r>
      <w:r w:rsidRPr="00CC0090">
        <w:rPr>
          <w:rFonts w:ascii="Arial" w:hAnsi="Arial" w:cs="Arial"/>
          <w:szCs w:val="24"/>
        </w:rPr>
        <w:t xml:space="preserve"> §2º do Art. 23</w:t>
      </w:r>
      <w:r w:rsidRPr="00CC0090" w:rsidR="00960A11">
        <w:rPr>
          <w:rFonts w:ascii="Arial" w:hAnsi="Arial" w:cs="Arial"/>
          <w:szCs w:val="24"/>
        </w:rPr>
        <w:t xml:space="preserve"> da</w:t>
      </w:r>
      <w:r w:rsidRPr="00CC0090">
        <w:rPr>
          <w:rFonts w:ascii="Arial" w:hAnsi="Arial" w:cs="Arial"/>
          <w:szCs w:val="24"/>
        </w:rPr>
        <w:t xml:space="preserve"> Lei n° 4.169, de 12 de maio de 2006,</w:t>
      </w:r>
      <w:r w:rsidRPr="00CC0090" w:rsidR="00880306">
        <w:rPr>
          <w:rFonts w:ascii="Arial" w:hAnsi="Arial" w:cs="Arial"/>
          <w:szCs w:val="24"/>
        </w:rPr>
        <w:t xml:space="preserve"> bem como insere os incisos</w:t>
      </w:r>
      <w:r w:rsidRPr="00CC0090">
        <w:rPr>
          <w:rFonts w:ascii="Arial" w:hAnsi="Arial" w:cs="Arial"/>
          <w:szCs w:val="24"/>
        </w:rPr>
        <w:t xml:space="preserve"> I, II, III</w:t>
      </w:r>
      <w:r w:rsidRPr="00CC0090" w:rsidR="00880306">
        <w:rPr>
          <w:rFonts w:ascii="Arial" w:hAnsi="Arial" w:cs="Arial"/>
          <w:szCs w:val="24"/>
        </w:rPr>
        <w:t xml:space="preserve">, </w:t>
      </w:r>
      <w:r w:rsidRPr="00CC0090">
        <w:rPr>
          <w:rFonts w:ascii="Arial" w:hAnsi="Arial" w:cs="Arial"/>
          <w:szCs w:val="24"/>
        </w:rPr>
        <w:t>IV e suas alíneas</w:t>
      </w:r>
      <w:r w:rsidRPr="00CC0090" w:rsidR="00880306">
        <w:rPr>
          <w:rFonts w:ascii="Arial" w:hAnsi="Arial" w:cs="Arial"/>
          <w:szCs w:val="24"/>
        </w:rPr>
        <w:t>,</w:t>
      </w:r>
      <w:r w:rsidRPr="00CC0090">
        <w:rPr>
          <w:rFonts w:ascii="Arial" w:hAnsi="Arial" w:cs="Arial"/>
          <w:szCs w:val="24"/>
        </w:rPr>
        <w:t xml:space="preserve"> que passam a vigorar com a seguinte redação:</w:t>
      </w:r>
    </w:p>
    <w:p w:rsidR="00073362" w:rsidRPr="00CC0090" w:rsidP="001911A8" w14:paraId="3DB43155" w14:textId="44D556D5">
      <w:pPr>
        <w:pStyle w:val="Corpo"/>
        <w:spacing w:line="276" w:lineRule="auto"/>
        <w:ind w:firstLine="0"/>
        <w:rPr>
          <w:rFonts w:ascii="Arial" w:hAnsi="Arial" w:cs="Arial"/>
          <w:szCs w:val="24"/>
        </w:rPr>
      </w:pPr>
    </w:p>
    <w:p w:rsidR="00073362" w:rsidRPr="00CC0090" w:rsidP="001911A8" w14:paraId="50A805FA" w14:textId="55A65024">
      <w:pPr>
        <w:pStyle w:val="NoSpacing"/>
        <w:spacing w:line="276" w:lineRule="au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  <w:r w:rsidRPr="00CC0090">
        <w:rPr>
          <w:rStyle w:val="normas-indices-artigo"/>
          <w:rFonts w:ascii="Arial" w:hAnsi="Arial" w:cs="Arial"/>
          <w:b/>
          <w:bCs/>
          <w:i/>
          <w:iCs/>
          <w:sz w:val="24"/>
          <w:szCs w:val="24"/>
        </w:rPr>
        <w:t>Art. 23</w:t>
      </w:r>
      <w:r w:rsidRPr="00CC0090">
        <w:rPr>
          <w:rFonts w:ascii="Arial" w:hAnsi="Arial" w:cs="Arial"/>
          <w:i/>
          <w:iCs/>
          <w:sz w:val="24"/>
          <w:szCs w:val="24"/>
        </w:rPr>
        <w:t> </w:t>
      </w:r>
      <w:r w:rsidRPr="00CC0090">
        <w:rPr>
          <w:rFonts w:ascii="Arial" w:hAnsi="Arial" w:cs="Arial"/>
          <w:i/>
          <w:iCs/>
          <w:sz w:val="24"/>
          <w:szCs w:val="24"/>
        </w:rPr>
        <w:t>  Os</w:t>
      </w:r>
      <w:r w:rsidRPr="00CC0090">
        <w:rPr>
          <w:rFonts w:ascii="Arial" w:hAnsi="Arial" w:cs="Arial"/>
          <w:i/>
          <w:iCs/>
          <w:sz w:val="24"/>
          <w:szCs w:val="24"/>
        </w:rPr>
        <w:t xml:space="preserve"> responsáveis por imóveis não edificados deverão mantê-lo limpos, capinados, desinfetados e drenados e os responsáveis por imóveis que estejam edificados ou em construção que estiverem em estado de abandono deverão ser fechados com portas e janelas, construção de muro ou colocação de tapume.  </w:t>
      </w:r>
    </w:p>
    <w:p w:rsidR="00073362" w:rsidRPr="00CC0090" w:rsidP="001911A8" w14:paraId="58FA1645" w14:textId="77777777">
      <w:pPr>
        <w:pStyle w:val="NoSpacing"/>
        <w:spacing w:line="276" w:lineRule="au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</w:p>
    <w:p w:rsidR="00073362" w:rsidRPr="00CC0090" w:rsidP="001911A8" w14:paraId="0D3535BA" w14:textId="07E64863">
      <w:pPr>
        <w:pStyle w:val="NoSpacing"/>
        <w:spacing w:line="276" w:lineRule="au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>§ 1°</w:t>
      </w:r>
      <w:r w:rsidRPr="00CC0090">
        <w:rPr>
          <w:rFonts w:ascii="Arial" w:hAnsi="Arial" w:cs="Arial"/>
          <w:i/>
          <w:iCs/>
          <w:sz w:val="24"/>
          <w:szCs w:val="24"/>
        </w:rPr>
        <w:t xml:space="preserve"> ...</w:t>
      </w:r>
    </w:p>
    <w:p w:rsidR="00073362" w:rsidRPr="00CC0090" w:rsidP="001911A8" w14:paraId="4D5AE02F" w14:textId="77777777">
      <w:pPr>
        <w:pStyle w:val="NoSpacing"/>
        <w:spacing w:line="276" w:lineRule="au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</w:p>
    <w:p w:rsidR="00073362" w:rsidRPr="00CC0090" w:rsidP="001911A8" w14:paraId="32574D15" w14:textId="68A3441B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>§ 2</w:t>
      </w:r>
      <w:r w:rsidRPr="00CC0090">
        <w:rPr>
          <w:rFonts w:ascii="Arial" w:hAnsi="Arial" w:cs="Arial"/>
          <w:i/>
          <w:iCs/>
          <w:sz w:val="24"/>
          <w:szCs w:val="24"/>
        </w:rPr>
        <w:t>° O Poder Executivo deverá antes de executar os serviços elencados no </w:t>
      </w:r>
      <w:r w:rsidRPr="00CC0090">
        <w:rPr>
          <w:rStyle w:val="Strong"/>
          <w:rFonts w:ascii="Arial" w:hAnsi="Arial" w:cs="Arial"/>
          <w:i/>
          <w:iCs/>
          <w:color w:val="333333"/>
          <w:sz w:val="24"/>
          <w:szCs w:val="24"/>
        </w:rPr>
        <w:t>caput</w:t>
      </w:r>
      <w:r w:rsidRPr="00CC0090">
        <w:rPr>
          <w:rFonts w:ascii="Arial" w:hAnsi="Arial" w:cs="Arial"/>
          <w:i/>
          <w:iCs/>
          <w:sz w:val="24"/>
          <w:szCs w:val="24"/>
        </w:rPr>
        <w:t xml:space="preserve"> do artigo, notificar o proprietário por escrito, </w:t>
      </w:r>
      <w:r w:rsidRPr="00CC0090" w:rsidR="00177F26">
        <w:rPr>
          <w:rFonts w:ascii="Arial" w:hAnsi="Arial" w:cs="Arial"/>
          <w:i/>
          <w:iCs/>
          <w:sz w:val="24"/>
          <w:szCs w:val="24"/>
        </w:rPr>
        <w:t>respeitando os seguintes prazos:</w:t>
      </w:r>
    </w:p>
    <w:p w:rsidR="00073362" w:rsidRPr="00CC0090" w:rsidP="001911A8" w14:paraId="5A34E895" w14:textId="77777777">
      <w:pPr>
        <w:pStyle w:val="NoSpacing"/>
        <w:spacing w:line="276" w:lineRule="au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</w:p>
    <w:p w:rsidR="00073362" w:rsidRPr="00CC0090" w:rsidP="001911A8" w14:paraId="3ACB80AF" w14:textId="0891D323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>I - Para limpeza de quintais, pátios e terrenos: 10 (dez) dias;</w:t>
      </w:r>
    </w:p>
    <w:p w:rsidR="00073362" w:rsidRPr="00CC0090" w:rsidP="001911A8" w14:paraId="2C148A46" w14:textId="77777777">
      <w:pPr>
        <w:pStyle w:val="NoSpacing"/>
        <w:spacing w:line="276" w:lineRule="au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</w:p>
    <w:p w:rsidR="00073362" w:rsidRPr="00CC0090" w:rsidP="001911A8" w14:paraId="2B096AF6" w14:textId="7FEE66B3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 xml:space="preserve">II - Para retirada de todo e qualquer material em via pública no prazo máximo de </w:t>
      </w:r>
      <w:r w:rsidRPr="00CC0090" w:rsidR="00177F26">
        <w:rPr>
          <w:rFonts w:ascii="Arial" w:hAnsi="Arial" w:cs="Arial"/>
          <w:b/>
          <w:bCs/>
          <w:i/>
          <w:iCs/>
          <w:sz w:val="24"/>
          <w:szCs w:val="24"/>
        </w:rPr>
        <w:t>48</w:t>
      </w: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 xml:space="preserve"> (</w:t>
      </w:r>
      <w:r w:rsidRPr="00CC0090" w:rsidR="00177F26">
        <w:rPr>
          <w:rFonts w:ascii="Arial" w:hAnsi="Arial" w:cs="Arial"/>
          <w:b/>
          <w:bCs/>
          <w:i/>
          <w:iCs/>
          <w:sz w:val="24"/>
          <w:szCs w:val="24"/>
        </w:rPr>
        <w:t>quarenta e oito</w:t>
      </w: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>) horas, que deverá observar o local onde se encontra o material, o fluxo de pedestres e veículos e o espaço físico do logradouro;</w:t>
      </w:r>
    </w:p>
    <w:p w:rsidR="00073362" w:rsidRPr="00CC0090" w:rsidP="001911A8" w14:paraId="23591671" w14:textId="77777777">
      <w:pPr>
        <w:pStyle w:val="NoSpacing"/>
        <w:spacing w:line="276" w:lineRule="au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</w:p>
    <w:p w:rsidR="00177F26" w:rsidRPr="00CC0090" w:rsidP="001911A8" w14:paraId="55AE6D02" w14:textId="77777777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>III</w:t>
      </w:r>
      <w:r w:rsidRPr="00CC0090" w:rsidR="00073362">
        <w:rPr>
          <w:rFonts w:ascii="Arial" w:hAnsi="Arial" w:cs="Arial"/>
          <w:b/>
          <w:bCs/>
          <w:i/>
          <w:iCs/>
          <w:sz w:val="24"/>
          <w:szCs w:val="24"/>
        </w:rPr>
        <w:t xml:space="preserve"> - A </w:t>
      </w:r>
      <w:r w:rsidRPr="00CC0090" w:rsidR="00073362">
        <w:rPr>
          <w:rFonts w:ascii="Arial" w:hAnsi="Arial" w:cs="Arial"/>
          <w:b/>
          <w:bCs/>
          <w:i/>
          <w:iCs/>
          <w:sz w:val="24"/>
          <w:szCs w:val="24"/>
        </w:rPr>
        <w:t>notificação  que</w:t>
      </w:r>
      <w:r w:rsidRPr="00CC0090" w:rsidR="00073362">
        <w:rPr>
          <w:rFonts w:ascii="Arial" w:hAnsi="Arial" w:cs="Arial"/>
          <w:b/>
          <w:bCs/>
          <w:i/>
          <w:iCs/>
          <w:sz w:val="24"/>
          <w:szCs w:val="24"/>
        </w:rPr>
        <w:t xml:space="preserve"> trata </w:t>
      </w: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 xml:space="preserve">este artigo poderá ser feita das seguintes formas: </w:t>
      </w:r>
    </w:p>
    <w:p w:rsidR="00177F26" w:rsidRPr="00CC0090" w:rsidP="001911A8" w14:paraId="4466D36A" w14:textId="77777777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77F26" w:rsidRPr="00CC0090" w:rsidP="001911A8" w14:paraId="1898D56B" w14:textId="1ADC1892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>I - M</w:t>
      </w:r>
      <w:r w:rsidRPr="00CC0090" w:rsidR="00073362">
        <w:rPr>
          <w:rFonts w:ascii="Arial" w:hAnsi="Arial" w:cs="Arial"/>
          <w:b/>
          <w:bCs/>
          <w:i/>
          <w:iCs/>
          <w:sz w:val="24"/>
          <w:szCs w:val="24"/>
        </w:rPr>
        <w:t>ediante registro postal</w:t>
      </w: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>;</w:t>
      </w:r>
    </w:p>
    <w:p w:rsidR="005F7E4D" w:rsidRPr="00CC0090" w:rsidP="001911A8" w14:paraId="08A7489F" w14:textId="77777777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77F26" w:rsidRPr="00CC0090" w:rsidP="001911A8" w14:paraId="2600BC9A" w14:textId="1499BC5A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>II – Por agente fiscalizador;</w:t>
      </w:r>
    </w:p>
    <w:p w:rsidR="005F7E4D" w:rsidRPr="00CC0090" w:rsidP="001911A8" w14:paraId="68DB9233" w14:textId="77777777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77F26" w:rsidRPr="00CC0090" w:rsidP="001911A8" w14:paraId="4BDFF7F4" w14:textId="4B9C787D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>III – Por meio de edital publicado na imprensa oficial, se não localizado o responsável do imóvel.</w:t>
      </w:r>
    </w:p>
    <w:p w:rsidR="00177F26" w:rsidRPr="00CC0090" w:rsidP="001911A8" w14:paraId="6D871693" w14:textId="77777777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77F26" w:rsidRPr="00CC0090" w:rsidP="001911A8" w14:paraId="67C9EC8C" w14:textId="37177712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 xml:space="preserve">§ 3º A notificação que trata o parágrafo anterior </w:t>
      </w:r>
      <w:r w:rsidRPr="00CC0090" w:rsidR="005F7E4D">
        <w:rPr>
          <w:rFonts w:ascii="Arial" w:hAnsi="Arial" w:cs="Arial"/>
          <w:b/>
          <w:bCs/>
          <w:i/>
          <w:iCs/>
          <w:sz w:val="24"/>
          <w:szCs w:val="24"/>
        </w:rPr>
        <w:t>observará</w:t>
      </w: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 xml:space="preserve"> os seguintes termos: </w:t>
      </w:r>
    </w:p>
    <w:p w:rsidR="00177F26" w:rsidRPr="00CC0090" w:rsidP="001911A8" w14:paraId="21007115" w14:textId="77777777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073362" w:rsidRPr="00CC0090" w:rsidP="001911A8" w14:paraId="63FA638D" w14:textId="4D19354F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>I -</w:t>
      </w:r>
      <w:r w:rsidRPr="00CC0090" w:rsidR="00047B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>Será realizada</w:t>
      </w: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 xml:space="preserve"> em formulário próprio, das secretarias elencadas no art. 33 desta Lei, </w:t>
      </w:r>
      <w:r w:rsidRPr="00CC0090" w:rsidR="00047B3C">
        <w:rPr>
          <w:rFonts w:ascii="Arial" w:hAnsi="Arial" w:cs="Arial"/>
          <w:b/>
          <w:bCs/>
          <w:i/>
          <w:iCs/>
          <w:sz w:val="24"/>
          <w:szCs w:val="24"/>
        </w:rPr>
        <w:t>contendo</w:t>
      </w: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 xml:space="preserve"> a descrição da irregularidade e assinatura do fiscal, bem como todas as indicações e especificações devidamente preenchidas.</w:t>
      </w:r>
    </w:p>
    <w:p w:rsidR="00073362" w:rsidRPr="00CC0090" w:rsidP="001911A8" w14:paraId="17C9FAC2" w14:textId="77777777">
      <w:pPr>
        <w:pStyle w:val="NoSpacing"/>
        <w:spacing w:line="276" w:lineRule="au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</w:p>
    <w:p w:rsidR="00073362" w:rsidRPr="00CC0090" w:rsidP="001911A8" w14:paraId="3AA5927C" w14:textId="75E03C86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>II -</w:t>
      </w: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 xml:space="preserve"> No caso de devolução da notificação por recusa de recebimento ou não localização do infrator, ou quando se tratar de infrator com endereço incerto ou não sabido, o mesmo será intimado por meio de edital, publicado uma só vez, considerando-se efetivada em 5 (cinco) dias após a publicação.</w:t>
      </w:r>
    </w:p>
    <w:p w:rsidR="00073362" w:rsidRPr="00CC0090" w:rsidP="001911A8" w14:paraId="7CF166C0" w14:textId="77777777">
      <w:pPr>
        <w:pStyle w:val="NoSpacing"/>
        <w:spacing w:line="276" w:lineRule="auto"/>
        <w:ind w:left="1701"/>
        <w:jc w:val="both"/>
        <w:rPr>
          <w:rFonts w:ascii="Arial" w:hAnsi="Arial" w:cs="Arial"/>
          <w:i/>
          <w:iCs/>
          <w:sz w:val="24"/>
          <w:szCs w:val="24"/>
          <w:highlight w:val="yellow"/>
        </w:rPr>
      </w:pPr>
    </w:p>
    <w:p w:rsidR="00073362" w:rsidRPr="00CC0090" w:rsidP="001911A8" w14:paraId="4770F1C2" w14:textId="1A07670F">
      <w:pPr>
        <w:pStyle w:val="Corpo"/>
        <w:spacing w:line="276" w:lineRule="auto"/>
        <w:ind w:firstLine="0"/>
        <w:rPr>
          <w:rFonts w:ascii="Arial" w:hAnsi="Arial" w:cs="Arial"/>
          <w:szCs w:val="24"/>
        </w:rPr>
      </w:pPr>
      <w:r w:rsidRPr="00CC0090">
        <w:rPr>
          <w:rFonts w:ascii="Arial" w:hAnsi="Arial" w:cs="Arial"/>
          <w:b/>
          <w:bCs/>
          <w:szCs w:val="24"/>
        </w:rPr>
        <w:t>Art. 2º</w:t>
      </w:r>
      <w:r w:rsidRPr="00CC0090">
        <w:rPr>
          <w:rFonts w:ascii="Arial" w:hAnsi="Arial" w:cs="Arial"/>
          <w:szCs w:val="24"/>
        </w:rPr>
        <w:t xml:space="preserve"> Altera o §3º do Art. 23</w:t>
      </w:r>
      <w:r w:rsidRPr="00CC0090" w:rsidR="00960A11">
        <w:rPr>
          <w:rFonts w:ascii="Arial" w:hAnsi="Arial" w:cs="Arial"/>
          <w:szCs w:val="24"/>
        </w:rPr>
        <w:t xml:space="preserve"> da</w:t>
      </w:r>
      <w:r w:rsidRPr="00CC0090">
        <w:rPr>
          <w:rFonts w:ascii="Arial" w:hAnsi="Arial" w:cs="Arial"/>
          <w:szCs w:val="24"/>
        </w:rPr>
        <w:t xml:space="preserve"> Lei n° 4.169, de 12 de maio de 2006, que passa a vigorar com a seguinte redação:</w:t>
      </w:r>
    </w:p>
    <w:p w:rsidR="00880306" w:rsidRPr="00CC0090" w:rsidP="001911A8" w14:paraId="20DBA0F5" w14:textId="24BA9053">
      <w:pPr>
        <w:pStyle w:val="Corpo"/>
        <w:spacing w:line="276" w:lineRule="auto"/>
        <w:ind w:firstLine="0"/>
        <w:rPr>
          <w:rFonts w:ascii="Arial" w:hAnsi="Arial" w:cs="Arial"/>
          <w:szCs w:val="24"/>
        </w:rPr>
      </w:pPr>
    </w:p>
    <w:p w:rsidR="005771CA" w:rsidRPr="00CC0090" w:rsidP="005771CA" w14:paraId="1DB61107" w14:textId="5656CDF3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 xml:space="preserve">§ 3º - Esgotado o prazo de que tratam os parágrafos anteriores deste artigo, sem o atendimento da solicitação formulada, será lavrado auto de infração; </w:t>
      </w:r>
    </w:p>
    <w:p w:rsidR="005771CA" w:rsidRPr="00CC0090" w:rsidP="005771CA" w14:paraId="5B27C9C7" w14:textId="2074C3B7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5771CA" w:rsidRPr="00CC0090" w:rsidP="005771CA" w14:paraId="3A8516F4" w14:textId="5D2F524F">
      <w:pPr>
        <w:pStyle w:val="NoSpacing"/>
        <w:spacing w:line="276" w:lineRule="auto"/>
        <w:ind w:left="170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C0090">
        <w:rPr>
          <w:rFonts w:ascii="Arial" w:hAnsi="Arial" w:cs="Arial"/>
          <w:b/>
          <w:bCs/>
          <w:i/>
          <w:iCs/>
          <w:sz w:val="24"/>
          <w:szCs w:val="24"/>
        </w:rPr>
        <w:t xml:space="preserve">I – </w:t>
      </w:r>
      <w:r w:rsidRPr="00CC0090" w:rsidR="00837190">
        <w:rPr>
          <w:rFonts w:ascii="Arial" w:hAnsi="Arial" w:cs="Arial"/>
          <w:b/>
          <w:bCs/>
          <w:i/>
          <w:iCs/>
          <w:sz w:val="24"/>
          <w:szCs w:val="24"/>
        </w:rPr>
        <w:t xml:space="preserve">No caso de reincidência, fica dispensada a notificação do artigo anterior, sendo aplicada em dobro a multa de que trata </w:t>
      </w:r>
      <w:r w:rsidRPr="00CC0090" w:rsidR="00837190">
        <w:rPr>
          <w:rFonts w:ascii="Arial" w:hAnsi="Arial" w:cs="Arial"/>
          <w:b/>
          <w:bCs/>
          <w:i/>
          <w:iCs/>
          <w:sz w:val="24"/>
          <w:szCs w:val="24"/>
        </w:rPr>
        <w:t>esta  Lei</w:t>
      </w:r>
      <w:r w:rsidRPr="00CC0090" w:rsidR="00837190">
        <w:rPr>
          <w:rFonts w:ascii="Arial" w:hAnsi="Arial" w:cs="Arial"/>
          <w:b/>
          <w:bCs/>
          <w:i/>
          <w:iCs/>
          <w:sz w:val="24"/>
          <w:szCs w:val="24"/>
        </w:rPr>
        <w:t>."</w:t>
      </w:r>
    </w:p>
    <w:p w:rsidR="00880306" w:rsidRPr="00CC0090" w:rsidP="001911A8" w14:paraId="243F9845" w14:textId="0295182E">
      <w:pPr>
        <w:pStyle w:val="Corpo"/>
        <w:spacing w:line="276" w:lineRule="auto"/>
        <w:ind w:firstLine="0"/>
        <w:rPr>
          <w:rFonts w:ascii="Arial" w:hAnsi="Arial" w:cs="Arial"/>
          <w:szCs w:val="24"/>
        </w:rPr>
      </w:pPr>
    </w:p>
    <w:p w:rsidR="00880306" w:rsidRPr="00CC0090" w:rsidP="001911A8" w14:paraId="2CCD59B4" w14:textId="3609BC9C">
      <w:pPr>
        <w:pStyle w:val="Corpo"/>
        <w:spacing w:line="276" w:lineRule="auto"/>
        <w:ind w:firstLine="0"/>
        <w:rPr>
          <w:rFonts w:ascii="Arial" w:hAnsi="Arial" w:cs="Arial"/>
          <w:szCs w:val="24"/>
        </w:rPr>
      </w:pPr>
      <w:r w:rsidRPr="00CC0090">
        <w:rPr>
          <w:rFonts w:ascii="Arial" w:hAnsi="Arial" w:cs="Arial"/>
          <w:b/>
          <w:bCs/>
          <w:szCs w:val="24"/>
        </w:rPr>
        <w:t>Art. 3</w:t>
      </w:r>
      <w:r w:rsidRPr="00CC0090">
        <w:rPr>
          <w:rFonts w:ascii="Arial" w:hAnsi="Arial" w:cs="Arial"/>
          <w:szCs w:val="24"/>
        </w:rPr>
        <w:t xml:space="preserve">º Insere o §4º </w:t>
      </w:r>
      <w:r w:rsidRPr="00CC0090" w:rsidR="00960A11">
        <w:rPr>
          <w:rFonts w:ascii="Arial" w:hAnsi="Arial" w:cs="Arial"/>
          <w:szCs w:val="24"/>
        </w:rPr>
        <w:t>no</w:t>
      </w:r>
      <w:r w:rsidRPr="00CC0090">
        <w:rPr>
          <w:rFonts w:ascii="Arial" w:hAnsi="Arial" w:cs="Arial"/>
          <w:szCs w:val="24"/>
        </w:rPr>
        <w:t xml:space="preserve"> Art. 23</w:t>
      </w:r>
      <w:r w:rsidRPr="00CC0090" w:rsidR="00960A11">
        <w:rPr>
          <w:rFonts w:ascii="Arial" w:hAnsi="Arial" w:cs="Arial"/>
          <w:szCs w:val="24"/>
        </w:rPr>
        <w:t xml:space="preserve"> da </w:t>
      </w:r>
      <w:r w:rsidRPr="00CC0090">
        <w:rPr>
          <w:rFonts w:ascii="Arial" w:hAnsi="Arial" w:cs="Arial"/>
          <w:szCs w:val="24"/>
        </w:rPr>
        <w:t>Lei n° 4.169, de 12 de maio de 2006, que passa a vigorar com a redação do antigo §3º:</w:t>
      </w:r>
    </w:p>
    <w:p w:rsidR="001911A8" w:rsidRPr="00CC0090" w:rsidP="001911A8" w14:paraId="2E9574AE" w14:textId="77777777">
      <w:pPr>
        <w:pStyle w:val="Corpo"/>
        <w:spacing w:line="276" w:lineRule="auto"/>
        <w:ind w:firstLine="0"/>
        <w:rPr>
          <w:rFonts w:ascii="Arial" w:hAnsi="Arial" w:cs="Arial"/>
          <w:szCs w:val="24"/>
        </w:rPr>
      </w:pPr>
    </w:p>
    <w:p w:rsidR="00880306" w:rsidRPr="00CC0090" w:rsidP="001911A8" w14:paraId="4FB46A4F" w14:textId="56501152">
      <w:pPr>
        <w:pStyle w:val="Corpo"/>
        <w:spacing w:line="276" w:lineRule="auto"/>
        <w:ind w:left="1701" w:firstLine="0"/>
        <w:rPr>
          <w:rFonts w:ascii="Arial" w:hAnsi="Arial" w:cs="Arial"/>
          <w:b/>
          <w:bCs/>
          <w:i/>
          <w:iCs/>
          <w:szCs w:val="24"/>
        </w:rPr>
      </w:pPr>
      <w:r w:rsidRPr="00CC0090">
        <w:rPr>
          <w:rFonts w:ascii="Arial" w:hAnsi="Arial" w:cs="Arial"/>
          <w:b/>
          <w:bCs/>
          <w:i/>
          <w:iCs/>
          <w:szCs w:val="24"/>
        </w:rPr>
        <w:t xml:space="preserve">§ 4° Caso o proprietário comprove incapacidade financeira par arcar com as custas dos serviços executados pelo Poder </w:t>
      </w:r>
      <w:r w:rsidRPr="00CC0090">
        <w:rPr>
          <w:rFonts w:ascii="Arial" w:hAnsi="Arial" w:cs="Arial"/>
          <w:b/>
          <w:bCs/>
          <w:i/>
          <w:iCs/>
          <w:szCs w:val="24"/>
        </w:rPr>
        <w:t>Executivo, o mesmo poderá requerer a isenção do serviço junto ao serviço social do Município</w:t>
      </w:r>
    </w:p>
    <w:p w:rsidR="00073362" w:rsidRPr="00CC0090" w:rsidP="001911A8" w14:paraId="66AF627F" w14:textId="77777777">
      <w:pPr>
        <w:pStyle w:val="Corpo"/>
        <w:spacing w:line="276" w:lineRule="auto"/>
        <w:ind w:firstLine="0"/>
        <w:rPr>
          <w:rFonts w:ascii="Arial" w:hAnsi="Arial" w:cs="Arial"/>
          <w:szCs w:val="24"/>
        </w:rPr>
      </w:pPr>
    </w:p>
    <w:p w:rsidR="00F5776E" w:rsidRPr="00CC0090" w:rsidP="001911A8" w14:paraId="70E912BC" w14:textId="0F683B56">
      <w:pPr>
        <w:jc w:val="both"/>
        <w:rPr>
          <w:rFonts w:ascii="Arial" w:hAnsi="Arial" w:cs="Arial"/>
          <w:sz w:val="24"/>
          <w:szCs w:val="24"/>
        </w:rPr>
      </w:pPr>
      <w:r w:rsidRPr="00CC0090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CC0090" w:rsidR="00561B82">
        <w:rPr>
          <w:rFonts w:ascii="Arial" w:hAnsi="Arial" w:cs="Arial"/>
          <w:b/>
          <w:bCs/>
          <w:sz w:val="24"/>
          <w:szCs w:val="24"/>
        </w:rPr>
        <w:t>4</w:t>
      </w:r>
      <w:r w:rsidRPr="00CC0090">
        <w:rPr>
          <w:rFonts w:ascii="Arial" w:hAnsi="Arial" w:cs="Arial"/>
          <w:b/>
          <w:bCs/>
          <w:sz w:val="24"/>
          <w:szCs w:val="24"/>
        </w:rPr>
        <w:t>º</w:t>
      </w:r>
      <w:r w:rsidRPr="00CC0090">
        <w:rPr>
          <w:rFonts w:ascii="Arial" w:hAnsi="Arial" w:cs="Arial"/>
          <w:sz w:val="24"/>
          <w:szCs w:val="24"/>
        </w:rPr>
        <w:t xml:space="preserve"> Esta Lei entra em vigor na data de sua publicação, revogando disposições em contrário.</w:t>
      </w:r>
    </w:p>
    <w:bookmarkEnd w:id="1"/>
    <w:p w:rsidR="00CA5D57" w:rsidRPr="00CC0090" w:rsidP="00066E94" w14:paraId="61E42AA2" w14:textId="77777777">
      <w:pPr>
        <w:ind w:left="708"/>
        <w:rPr>
          <w:rFonts w:ascii="Arial" w:hAnsi="Arial" w:cs="Arial"/>
          <w:sz w:val="24"/>
          <w:szCs w:val="24"/>
        </w:rPr>
      </w:pPr>
    </w:p>
    <w:p w:rsidR="00066E94" w:rsidRPr="00CC0090" w:rsidP="00066E94" w14:paraId="738B7A20" w14:textId="5DD42EC1">
      <w:pPr>
        <w:ind w:left="708"/>
        <w:rPr>
          <w:rFonts w:ascii="Arial" w:hAnsi="Arial" w:cs="Arial"/>
          <w:sz w:val="24"/>
          <w:szCs w:val="24"/>
        </w:rPr>
      </w:pPr>
      <w:r w:rsidRPr="00CC0090">
        <w:rPr>
          <w:rFonts w:ascii="Arial" w:hAnsi="Arial" w:cs="Arial"/>
          <w:sz w:val="24"/>
          <w:szCs w:val="24"/>
        </w:rPr>
        <w:t xml:space="preserve">        Câmara Municipal de Sumaré, </w:t>
      </w:r>
      <w:r w:rsidRPr="00CC0090" w:rsidR="00CC0090">
        <w:rPr>
          <w:rFonts w:ascii="Arial" w:hAnsi="Arial" w:cs="Arial"/>
          <w:sz w:val="24"/>
          <w:szCs w:val="24"/>
        </w:rPr>
        <w:t>18</w:t>
      </w:r>
      <w:r w:rsidRPr="00CC0090">
        <w:rPr>
          <w:rFonts w:ascii="Arial" w:hAnsi="Arial" w:cs="Arial"/>
          <w:sz w:val="24"/>
          <w:szCs w:val="24"/>
        </w:rPr>
        <w:t xml:space="preserve"> de </w:t>
      </w:r>
      <w:r w:rsidRPr="00CC0090" w:rsidR="00CC0090">
        <w:rPr>
          <w:rFonts w:ascii="Arial" w:hAnsi="Arial" w:cs="Arial"/>
          <w:sz w:val="24"/>
          <w:szCs w:val="24"/>
        </w:rPr>
        <w:t>março</w:t>
      </w:r>
      <w:r w:rsidRPr="00CC0090">
        <w:rPr>
          <w:rFonts w:ascii="Arial" w:hAnsi="Arial" w:cs="Arial"/>
          <w:sz w:val="24"/>
          <w:szCs w:val="24"/>
        </w:rPr>
        <w:t xml:space="preserve"> de 2021.</w:t>
      </w:r>
    </w:p>
    <w:p w:rsidR="00F71D68" w:rsidRPr="00CC0090" w:rsidP="00066E94" w14:paraId="5A6DA172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bookmarkStart w:id="2" w:name="_Hlk9259198"/>
    </w:p>
    <w:p w:rsidR="00CC0090" w:rsidRPr="00CC0090" w:rsidP="00CC0090" w14:paraId="4E02ABAB" w14:textId="77777777">
      <w:pPr>
        <w:shd w:val="clear" w:color="auto" w:fill="FFFFFF"/>
        <w:spacing w:after="0"/>
        <w:ind w:firstLine="1418"/>
        <w:jc w:val="right"/>
        <w:rPr>
          <w:rFonts w:ascii="Arial" w:eastAsia="Arial" w:hAnsi="Arial" w:cs="Arial"/>
          <w:sz w:val="24"/>
          <w:szCs w:val="24"/>
        </w:rPr>
      </w:pPr>
    </w:p>
    <w:p w:rsidR="00CC0090" w:rsidRPr="00CC0090" w:rsidP="00CC0090" w14:paraId="57809703" w14:textId="77777777">
      <w:pPr>
        <w:shd w:val="clear" w:color="auto" w:fill="FFFFFF"/>
        <w:spacing w:after="0"/>
        <w:ind w:firstLine="1418"/>
        <w:jc w:val="right"/>
        <w:rPr>
          <w:rFonts w:ascii="Arial" w:eastAsia="Arial" w:hAnsi="Arial" w:cs="Arial"/>
          <w:sz w:val="24"/>
          <w:szCs w:val="24"/>
        </w:rPr>
      </w:pPr>
      <w:r w:rsidRPr="00CC009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27940</wp:posOffset>
            </wp:positionV>
            <wp:extent cx="2002790" cy="1419225"/>
            <wp:effectExtent l="0" t="0" r="0" b="0"/>
            <wp:wrapNone/>
            <wp:docPr id="1553118610" name="image2.png" descr="C:\Users\user\Desktop\GAB 5\PHOTO-2021-01-26-09-15-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574956" name="image2.png" descr="C:\Users\user\Desktop\GAB 5\PHOTO-2021-01-26-09-15-5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0090" w:rsidRPr="00CC0090" w:rsidP="00CC0090" w14:paraId="7B2E2A66" w14:textId="77777777">
      <w:pPr>
        <w:tabs>
          <w:tab w:val="left" w:pos="567"/>
        </w:tabs>
        <w:jc w:val="center"/>
        <w:rPr>
          <w:rFonts w:ascii="Arial" w:eastAsia="Arial" w:hAnsi="Arial" w:cs="Arial"/>
          <w:b/>
          <w:sz w:val="24"/>
          <w:szCs w:val="24"/>
        </w:rPr>
      </w:pPr>
      <w:bookmarkStart w:id="3" w:name="_30j0zll" w:colFirst="0" w:colLast="0"/>
      <w:bookmarkEnd w:id="3"/>
    </w:p>
    <w:p w:rsidR="00CC0090" w:rsidRPr="00CC0090" w:rsidP="00CC0090" w14:paraId="351D82DE" w14:textId="77777777">
      <w:pPr>
        <w:tabs>
          <w:tab w:val="left" w:pos="567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CC0090" w:rsidP="00CC0090" w14:paraId="1458BCFF" w14:textId="77777777">
      <w:pPr>
        <w:tabs>
          <w:tab w:val="left" w:pos="567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CC0090" w:rsidRPr="00CC0090" w:rsidP="00CC0090" w14:paraId="48324335" w14:textId="0077F0AD">
      <w:pPr>
        <w:tabs>
          <w:tab w:val="left" w:pos="567"/>
        </w:tabs>
        <w:jc w:val="center"/>
        <w:rPr>
          <w:rFonts w:ascii="Arial" w:eastAsia="Arial" w:hAnsi="Arial" w:cs="Arial"/>
          <w:b/>
          <w:sz w:val="24"/>
          <w:szCs w:val="24"/>
        </w:rPr>
      </w:pPr>
      <w:r w:rsidRPr="00CC0090">
        <w:rPr>
          <w:rFonts w:ascii="Arial" w:eastAsia="Arial" w:hAnsi="Arial" w:cs="Arial"/>
          <w:b/>
          <w:sz w:val="24"/>
          <w:szCs w:val="24"/>
        </w:rPr>
        <w:t>Andre da Farmácia</w:t>
      </w:r>
    </w:p>
    <w:p w:rsidR="00CC0090" w:rsidRPr="00CC0090" w:rsidP="00CC0090" w14:paraId="4B4929CF" w14:textId="4D81EC3D">
      <w:pPr>
        <w:tabs>
          <w:tab w:val="left" w:pos="567"/>
        </w:tabs>
        <w:jc w:val="center"/>
        <w:rPr>
          <w:rFonts w:ascii="Arial" w:eastAsia="Arial" w:hAnsi="Arial" w:cs="Arial"/>
          <w:b/>
          <w:sz w:val="24"/>
          <w:szCs w:val="24"/>
        </w:rPr>
      </w:pPr>
      <w:r w:rsidRPr="00CC0090">
        <w:rPr>
          <w:rFonts w:ascii="Arial" w:eastAsia="Arial" w:hAnsi="Arial" w:cs="Arial"/>
          <w:b/>
          <w:sz w:val="24"/>
          <w:szCs w:val="24"/>
        </w:rPr>
        <w:t>Vereador</w:t>
      </w:r>
    </w:p>
    <w:p w:rsidR="00CC0090" w:rsidRPr="00CC0090" w:rsidP="00CC0090" w14:paraId="121E8B1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</w:rPr>
      </w:pPr>
      <w:r w:rsidRPr="00CC0090">
        <w:rPr>
          <w:rFonts w:ascii="Arial" w:hAnsi="Arial" w:cs="Arial"/>
          <w:b/>
          <w:bCs/>
          <w:spacing w:val="2"/>
        </w:rPr>
        <w:t>Partido Social Cristão – PSC</w:t>
      </w:r>
    </w:p>
    <w:p w:rsidR="00CC0090" w:rsidRPr="00CC0090" w:rsidP="00CC0090" w14:paraId="0C50C83D" w14:textId="77777777">
      <w:pPr>
        <w:tabs>
          <w:tab w:val="left" w:pos="567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CC0090" w:rsidRPr="00CC0090" w:rsidP="00CC0090" w14:paraId="3D77734C" w14:textId="77777777">
      <w:pPr>
        <w:tabs>
          <w:tab w:val="left" w:pos="567"/>
        </w:tabs>
        <w:jc w:val="center"/>
        <w:rPr>
          <w:rFonts w:ascii="Arial" w:eastAsia="Bookman Old Style" w:hAnsi="Arial" w:cs="Arial"/>
          <w:b/>
          <w:color w:val="222222"/>
          <w:sz w:val="24"/>
          <w:szCs w:val="24"/>
        </w:rPr>
      </w:pPr>
    </w:p>
    <w:p w:rsidR="003062F6" w:rsidRPr="00CC0090" w:rsidP="00066E94" w14:paraId="4D1747F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</w:p>
    <w:p w:rsidR="00BA6828" w:rsidRPr="00CC0090" w:rsidP="00B67E52" w14:paraId="00E0664F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BA6828" w:rsidRPr="00CC0090" w:rsidP="00B67E52" w14:paraId="0AE12014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BA6828" w:rsidRPr="00CC0090" w:rsidP="00B67E52" w14:paraId="6534E2FA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BA6828" w:rsidRPr="00CC0090" w:rsidP="00B67E52" w14:paraId="153F14F7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BA6828" w:rsidRPr="00CC0090" w:rsidP="00B67E52" w14:paraId="094E354B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BA6828" w:rsidRPr="00CC0090" w:rsidP="00B67E52" w14:paraId="15C1665E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BA6828" w:rsidRPr="00CC0090" w:rsidP="00B67E52" w14:paraId="64F9A580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BA6828" w:rsidRPr="00CC0090" w:rsidP="00B67E52" w14:paraId="6E0193C0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CC0090" w:rsidP="00B67E52" w14:paraId="0A4294F0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CC0090" w:rsidP="00B67E52" w14:paraId="57271B17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CC0090" w:rsidP="00B67E52" w14:paraId="51158EDB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B67E52" w:rsidRPr="00CC0090" w:rsidP="00B67E52" w14:paraId="412DDDCC" w14:textId="124736FF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  <w:r w:rsidRPr="00CC0090">
        <w:rPr>
          <w:rFonts w:ascii="Arial" w:hAnsi="Arial" w:cs="Arial"/>
          <w:b/>
        </w:rPr>
        <w:t>JUSTIFICATIVA</w:t>
      </w:r>
    </w:p>
    <w:p w:rsidR="00B67E52" w:rsidRPr="00CC0090" w:rsidP="00B67E52" w14:paraId="17A2B82C" w14:textId="77777777">
      <w:pPr>
        <w:pStyle w:val="BodyText"/>
        <w:rPr>
          <w:rFonts w:ascii="Arial" w:hAnsi="Arial" w:cs="Arial"/>
          <w:b/>
        </w:rPr>
      </w:pPr>
    </w:p>
    <w:p w:rsidR="00BC7195" w:rsidRPr="00CC0090" w:rsidP="00303783" w14:paraId="5B1B9B62" w14:textId="458CE51F">
      <w:pPr>
        <w:pStyle w:val="BodyText"/>
        <w:ind w:right="118" w:firstLine="1134"/>
        <w:rPr>
          <w:rFonts w:ascii="Arial" w:hAnsi="Arial" w:cs="Arial"/>
        </w:rPr>
      </w:pPr>
      <w:r w:rsidRPr="00CC0090">
        <w:rPr>
          <w:rFonts w:ascii="Arial" w:hAnsi="Arial" w:cs="Arial"/>
        </w:rPr>
        <w:t xml:space="preserve">Este projeto tem objetivo de intensificar, em todo território municipal de Sumaré, a fiscalização e limpeza de terrenos baldios, pátios e quintais, de forma a incentivar a manutenção das áreas por parte de seus responsáveis/proprietários. </w:t>
      </w:r>
    </w:p>
    <w:p w:rsidR="00BC7195" w:rsidRPr="00CC0090" w:rsidP="00303783" w14:paraId="1BB26027" w14:textId="4A561816">
      <w:pPr>
        <w:pStyle w:val="BodyText"/>
        <w:ind w:right="118" w:firstLine="1134"/>
        <w:rPr>
          <w:rFonts w:ascii="Arial" w:hAnsi="Arial" w:cs="Arial"/>
        </w:rPr>
      </w:pPr>
      <w:r w:rsidRPr="00CC0090">
        <w:rPr>
          <w:rFonts w:ascii="Arial" w:hAnsi="Arial" w:cs="Arial"/>
        </w:rPr>
        <w:t xml:space="preserve">O intuito é reduzir os prazos, após notificação, para que </w:t>
      </w:r>
      <w:r w:rsidRPr="00CC0090" w:rsidR="00987BD8">
        <w:rPr>
          <w:rFonts w:ascii="Arial" w:hAnsi="Arial" w:cs="Arial"/>
        </w:rPr>
        <w:t xml:space="preserve">os proprietários de terrenos irregulares </w:t>
      </w:r>
      <w:r w:rsidRPr="00CC0090">
        <w:rPr>
          <w:rFonts w:ascii="Arial" w:hAnsi="Arial" w:cs="Arial"/>
        </w:rPr>
        <w:t xml:space="preserve">procedam com as devidas orientações dos fiscais </w:t>
      </w:r>
      <w:r w:rsidRPr="00CC0090" w:rsidR="00987BD8">
        <w:rPr>
          <w:rFonts w:ascii="Arial" w:hAnsi="Arial" w:cs="Arial"/>
        </w:rPr>
        <w:t>responsáveis, isto é, manter os terrenos limpos, trazendo maior segurança para os morados próximos a estes locais, dado que terrenos nestas situações, além de gerar grande poluição visual, são criadores de animais e insetos</w:t>
      </w:r>
      <w:r w:rsidRPr="00CC0090" w:rsidR="006E2E7A">
        <w:rPr>
          <w:rFonts w:ascii="Arial" w:hAnsi="Arial" w:cs="Arial"/>
        </w:rPr>
        <w:t xml:space="preserve"> indesejáveis.</w:t>
      </w:r>
    </w:p>
    <w:p w:rsidR="00987BD8" w:rsidRPr="00CC0090" w:rsidP="00303783" w14:paraId="6771F479" w14:textId="4D8635AE">
      <w:pPr>
        <w:pStyle w:val="BodyText"/>
        <w:ind w:right="118" w:firstLine="1134"/>
        <w:rPr>
          <w:rFonts w:ascii="Arial" w:hAnsi="Arial" w:cs="Arial"/>
        </w:rPr>
      </w:pPr>
      <w:r w:rsidRPr="00CC0090">
        <w:rPr>
          <w:rFonts w:ascii="Arial" w:hAnsi="Arial" w:cs="Arial"/>
        </w:rPr>
        <w:t>Assim, os terrenos devem ser mantidos limpos, roçados, com local livre de entulhos ou lixo de qualquer natureza, sem animais mortos, e demais aspectos tratados na Lei n° 4.169, de 12 de maio de 2006.</w:t>
      </w:r>
    </w:p>
    <w:p w:rsidR="00B67E52" w:rsidRPr="00CC0090" w:rsidP="00303783" w14:paraId="57317AAE" w14:textId="577004DE">
      <w:pPr>
        <w:pStyle w:val="BodyText"/>
        <w:ind w:right="118" w:firstLine="1134"/>
        <w:rPr>
          <w:rFonts w:ascii="Arial" w:hAnsi="Arial" w:cs="Arial"/>
        </w:rPr>
      </w:pPr>
      <w:r w:rsidRPr="00CC0090">
        <w:rPr>
          <w:rFonts w:ascii="Arial" w:hAnsi="Arial" w:cs="Arial"/>
        </w:rPr>
        <w:t>Dessa sorte</w:t>
      </w:r>
      <w:r w:rsidRPr="00CC0090" w:rsidR="00303783">
        <w:rPr>
          <w:rFonts w:ascii="Arial" w:hAnsi="Arial" w:cs="Arial"/>
        </w:rPr>
        <w:t>, com as vênias necessárias, peço pela aprovação de meus Nobres Colegas</w:t>
      </w:r>
      <w:r w:rsidRPr="00CC0090">
        <w:rPr>
          <w:rFonts w:ascii="Arial" w:hAnsi="Arial" w:cs="Arial"/>
        </w:rPr>
        <w:t>, para que possamos, juntos, tornar noss</w:t>
      </w:r>
      <w:r w:rsidRPr="00CC0090" w:rsidR="00EC3201">
        <w:rPr>
          <w:rFonts w:ascii="Arial" w:hAnsi="Arial" w:cs="Arial"/>
        </w:rPr>
        <w:t>o</w:t>
      </w:r>
      <w:r w:rsidRPr="00CC0090">
        <w:rPr>
          <w:rFonts w:ascii="Arial" w:hAnsi="Arial" w:cs="Arial"/>
        </w:rPr>
        <w:t xml:space="preserve"> município um lugar limpo e agradável de se morar. </w:t>
      </w:r>
    </w:p>
    <w:p w:rsidR="00B916EA" w:rsidRPr="00CC0090" w:rsidP="00303783" w14:paraId="39C5007A" w14:textId="77777777">
      <w:pPr>
        <w:pStyle w:val="BodyText"/>
        <w:ind w:right="118" w:firstLine="1134"/>
        <w:rPr>
          <w:rFonts w:ascii="Arial" w:hAnsi="Arial" w:cs="Arial"/>
        </w:rPr>
      </w:pPr>
    </w:p>
    <w:p w:rsidR="00B67E52" w:rsidRPr="00CC0090" w:rsidP="00B67E52" w14:paraId="6C8A05C4" w14:textId="41222D52">
      <w:pPr>
        <w:pStyle w:val="BodyText"/>
        <w:jc w:val="center"/>
        <w:rPr>
          <w:rFonts w:ascii="Arial" w:hAnsi="Arial" w:cs="Arial"/>
        </w:rPr>
      </w:pPr>
      <w:r w:rsidRPr="00CC0090">
        <w:rPr>
          <w:rFonts w:ascii="Arial" w:hAnsi="Arial" w:cs="Arial"/>
        </w:rPr>
        <w:t>Plenário da Câmara Municipal de Sumaré</w:t>
      </w:r>
    </w:p>
    <w:p w:rsidR="00CC0090" w:rsidRPr="00CC0090" w:rsidP="00CC0090" w14:paraId="176FE2AA" w14:textId="77777777">
      <w:pPr>
        <w:shd w:val="clear" w:color="auto" w:fill="FFFFFF"/>
        <w:spacing w:after="0"/>
        <w:ind w:firstLine="1418"/>
        <w:jc w:val="right"/>
        <w:rPr>
          <w:rFonts w:ascii="Arial" w:eastAsia="Arial" w:hAnsi="Arial" w:cs="Arial"/>
          <w:sz w:val="24"/>
          <w:szCs w:val="24"/>
        </w:rPr>
      </w:pPr>
      <w:r w:rsidRPr="00CC009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27940</wp:posOffset>
            </wp:positionV>
            <wp:extent cx="2002790" cy="1419225"/>
            <wp:effectExtent l="0" t="0" r="0" b="0"/>
            <wp:wrapNone/>
            <wp:docPr id="3" name="image2.png" descr="C:\Users\user\Desktop\GAB 5\PHOTO-2021-01-26-09-15-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85038" name="image2.png" descr="C:\Users\user\Desktop\GAB 5\PHOTO-2021-01-26-09-15-5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0090" w:rsidRPr="00CC0090" w:rsidP="00CC0090" w14:paraId="3A57553F" w14:textId="77777777">
      <w:pPr>
        <w:tabs>
          <w:tab w:val="left" w:pos="567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CC0090" w:rsidRPr="00CC0090" w:rsidP="00CC0090" w14:paraId="436E2249" w14:textId="77777777">
      <w:pPr>
        <w:tabs>
          <w:tab w:val="left" w:pos="567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CC0090" w:rsidP="00CC0090" w14:paraId="4B53B8C0" w14:textId="77777777">
      <w:pPr>
        <w:tabs>
          <w:tab w:val="left" w:pos="567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CC0090" w:rsidRPr="00CC0090" w:rsidP="00CC0090" w14:paraId="73262089" w14:textId="2B573331">
      <w:pPr>
        <w:tabs>
          <w:tab w:val="left" w:pos="567"/>
        </w:tabs>
        <w:jc w:val="center"/>
        <w:rPr>
          <w:rFonts w:ascii="Arial" w:eastAsia="Arial" w:hAnsi="Arial" w:cs="Arial"/>
          <w:b/>
          <w:sz w:val="24"/>
          <w:szCs w:val="24"/>
        </w:rPr>
      </w:pPr>
      <w:r w:rsidRPr="00CC0090">
        <w:rPr>
          <w:rFonts w:ascii="Arial" w:eastAsia="Arial" w:hAnsi="Arial" w:cs="Arial"/>
          <w:b/>
          <w:sz w:val="24"/>
          <w:szCs w:val="24"/>
        </w:rPr>
        <w:t>Andre da Farmácia</w:t>
      </w:r>
    </w:p>
    <w:p w:rsidR="00CC0090" w:rsidRPr="00CC0090" w:rsidP="00CC0090" w14:paraId="18BB15B1" w14:textId="77777777">
      <w:pPr>
        <w:tabs>
          <w:tab w:val="left" w:pos="567"/>
        </w:tabs>
        <w:jc w:val="center"/>
        <w:rPr>
          <w:rFonts w:ascii="Arial" w:eastAsia="Arial" w:hAnsi="Arial" w:cs="Arial"/>
          <w:b/>
          <w:sz w:val="24"/>
          <w:szCs w:val="24"/>
        </w:rPr>
      </w:pPr>
      <w:r w:rsidRPr="00CC0090">
        <w:rPr>
          <w:rFonts w:ascii="Arial" w:eastAsia="Arial" w:hAnsi="Arial" w:cs="Arial"/>
          <w:b/>
          <w:sz w:val="24"/>
          <w:szCs w:val="24"/>
        </w:rPr>
        <w:t>Vereador</w:t>
      </w:r>
    </w:p>
    <w:p w:rsidR="00CC0090" w:rsidRPr="00CC0090" w:rsidP="00CC0090" w14:paraId="5C3BECC2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</w:rPr>
      </w:pPr>
      <w:r w:rsidRPr="00CC0090">
        <w:rPr>
          <w:rFonts w:ascii="Arial" w:hAnsi="Arial" w:cs="Arial"/>
          <w:b/>
          <w:bCs/>
          <w:spacing w:val="2"/>
        </w:rPr>
        <w:t>Partido Social Cristão – PSC</w:t>
      </w:r>
    </w:p>
    <w:bookmarkEnd w:id="2"/>
    <w:p w:rsidR="00CC0090" w:rsidRPr="00CC0090" w:rsidP="00B67E52" w14:paraId="62B69113" w14:textId="77777777">
      <w:pPr>
        <w:pStyle w:val="BodyText"/>
        <w:rPr>
          <w:rFonts w:ascii="Arial" w:hAnsi="Arial" w:cs="Arial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8B4AFF"/>
    <w:multiLevelType w:val="hybridMultilevel"/>
    <w:tmpl w:val="00F281D8"/>
    <w:lvl w:ilvl="0">
      <w:start w:val="1"/>
      <w:numFmt w:val="upperRoman"/>
      <w:lvlText w:val="%1"/>
      <w:lvlJc w:val="left"/>
      <w:pPr>
        <w:ind w:left="119" w:hanging="16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pt-PT" w:eastAsia="pt-PT" w:bidi="pt-PT"/>
      </w:rPr>
    </w:lvl>
    <w:lvl w:ilvl="1">
      <w:start w:val="0"/>
      <w:numFmt w:val="bullet"/>
      <w:lvlText w:val="•"/>
      <w:lvlJc w:val="left"/>
      <w:pPr>
        <w:ind w:left="982" w:hanging="164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1844" w:hanging="164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706" w:hanging="164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568" w:hanging="164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430" w:hanging="164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292" w:hanging="164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154" w:hanging="164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016" w:hanging="164"/>
      </w:pPr>
      <w:rPr>
        <w:rFonts w:hint="default"/>
        <w:lang w:val="pt-PT" w:eastAsia="pt-PT" w:bidi="pt-P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B57"/>
    <w:rsid w:val="00005311"/>
    <w:rsid w:val="00007736"/>
    <w:rsid w:val="00007740"/>
    <w:rsid w:val="0001573A"/>
    <w:rsid w:val="00023255"/>
    <w:rsid w:val="0003367D"/>
    <w:rsid w:val="00035B15"/>
    <w:rsid w:val="00042F75"/>
    <w:rsid w:val="00043A97"/>
    <w:rsid w:val="00046216"/>
    <w:rsid w:val="00047B3C"/>
    <w:rsid w:val="00054050"/>
    <w:rsid w:val="00055B26"/>
    <w:rsid w:val="00056D61"/>
    <w:rsid w:val="00066E94"/>
    <w:rsid w:val="00067E84"/>
    <w:rsid w:val="00071356"/>
    <w:rsid w:val="000728EB"/>
    <w:rsid w:val="0007336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434"/>
    <w:rsid w:val="000C7CEB"/>
    <w:rsid w:val="000D0E9B"/>
    <w:rsid w:val="000D4F52"/>
    <w:rsid w:val="000F4039"/>
    <w:rsid w:val="000F6887"/>
    <w:rsid w:val="000F7104"/>
    <w:rsid w:val="00102351"/>
    <w:rsid w:val="001069A2"/>
    <w:rsid w:val="00110F4C"/>
    <w:rsid w:val="0011551E"/>
    <w:rsid w:val="001173AF"/>
    <w:rsid w:val="00122BB1"/>
    <w:rsid w:val="00122EE4"/>
    <w:rsid w:val="001234C7"/>
    <w:rsid w:val="001271C0"/>
    <w:rsid w:val="00127678"/>
    <w:rsid w:val="00142235"/>
    <w:rsid w:val="00146F5E"/>
    <w:rsid w:val="00170018"/>
    <w:rsid w:val="0017535B"/>
    <w:rsid w:val="001756A6"/>
    <w:rsid w:val="001769BC"/>
    <w:rsid w:val="00177F26"/>
    <w:rsid w:val="00182662"/>
    <w:rsid w:val="001911A8"/>
    <w:rsid w:val="001953AC"/>
    <w:rsid w:val="001A423C"/>
    <w:rsid w:val="001A6312"/>
    <w:rsid w:val="001A7076"/>
    <w:rsid w:val="001B020D"/>
    <w:rsid w:val="001C6050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7407"/>
    <w:rsid w:val="002875D1"/>
    <w:rsid w:val="00290EEB"/>
    <w:rsid w:val="00294063"/>
    <w:rsid w:val="002977F4"/>
    <w:rsid w:val="00297924"/>
    <w:rsid w:val="002A1420"/>
    <w:rsid w:val="002B20C9"/>
    <w:rsid w:val="002B7A4E"/>
    <w:rsid w:val="002C316A"/>
    <w:rsid w:val="002C7F73"/>
    <w:rsid w:val="002D78DD"/>
    <w:rsid w:val="002E3DB9"/>
    <w:rsid w:val="002E7041"/>
    <w:rsid w:val="002F0A14"/>
    <w:rsid w:val="002F6419"/>
    <w:rsid w:val="002F7F93"/>
    <w:rsid w:val="00303783"/>
    <w:rsid w:val="00303F7A"/>
    <w:rsid w:val="003062F6"/>
    <w:rsid w:val="00312482"/>
    <w:rsid w:val="003160E7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10"/>
    <w:rsid w:val="0036532D"/>
    <w:rsid w:val="003730D6"/>
    <w:rsid w:val="00383A63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4A4C"/>
    <w:rsid w:val="003B4DFC"/>
    <w:rsid w:val="003B7B42"/>
    <w:rsid w:val="003C060E"/>
    <w:rsid w:val="003C65A3"/>
    <w:rsid w:val="003D397E"/>
    <w:rsid w:val="003D4956"/>
    <w:rsid w:val="003D6F30"/>
    <w:rsid w:val="003E5D55"/>
    <w:rsid w:val="003F1125"/>
    <w:rsid w:val="00401CEF"/>
    <w:rsid w:val="004059FF"/>
    <w:rsid w:val="004060C5"/>
    <w:rsid w:val="0041220C"/>
    <w:rsid w:val="00413E0E"/>
    <w:rsid w:val="004172B1"/>
    <w:rsid w:val="004306F2"/>
    <w:rsid w:val="00442A52"/>
    <w:rsid w:val="00446DFF"/>
    <w:rsid w:val="00452893"/>
    <w:rsid w:val="00455B1F"/>
    <w:rsid w:val="00467027"/>
    <w:rsid w:val="00470C1E"/>
    <w:rsid w:val="0047236F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4ED0"/>
    <w:rsid w:val="004D4BCE"/>
    <w:rsid w:val="004D5686"/>
    <w:rsid w:val="004D5FC9"/>
    <w:rsid w:val="004E0B31"/>
    <w:rsid w:val="004F0A04"/>
    <w:rsid w:val="005153F5"/>
    <w:rsid w:val="00520C3B"/>
    <w:rsid w:val="00523C15"/>
    <w:rsid w:val="00525F5A"/>
    <w:rsid w:val="00554B2E"/>
    <w:rsid w:val="00561B82"/>
    <w:rsid w:val="00571A0E"/>
    <w:rsid w:val="0057509D"/>
    <w:rsid w:val="00576657"/>
    <w:rsid w:val="005771CA"/>
    <w:rsid w:val="00584424"/>
    <w:rsid w:val="005C3A1F"/>
    <w:rsid w:val="005D5560"/>
    <w:rsid w:val="005D7F1B"/>
    <w:rsid w:val="005F0084"/>
    <w:rsid w:val="005F603E"/>
    <w:rsid w:val="005F75A0"/>
    <w:rsid w:val="005F7E4D"/>
    <w:rsid w:val="00601ED4"/>
    <w:rsid w:val="00604FA0"/>
    <w:rsid w:val="00605DD7"/>
    <w:rsid w:val="006215FD"/>
    <w:rsid w:val="00632C99"/>
    <w:rsid w:val="0063759E"/>
    <w:rsid w:val="0064037E"/>
    <w:rsid w:val="006470C8"/>
    <w:rsid w:val="00656A2A"/>
    <w:rsid w:val="006621A6"/>
    <w:rsid w:val="006626B1"/>
    <w:rsid w:val="00663355"/>
    <w:rsid w:val="006647F8"/>
    <w:rsid w:val="0066522D"/>
    <w:rsid w:val="00674498"/>
    <w:rsid w:val="00677EB0"/>
    <w:rsid w:val="006811C8"/>
    <w:rsid w:val="006861AB"/>
    <w:rsid w:val="00695B7B"/>
    <w:rsid w:val="00695C03"/>
    <w:rsid w:val="006973F3"/>
    <w:rsid w:val="006A3829"/>
    <w:rsid w:val="006B2AD5"/>
    <w:rsid w:val="006B53C8"/>
    <w:rsid w:val="006C0DF4"/>
    <w:rsid w:val="006D4B76"/>
    <w:rsid w:val="006D524A"/>
    <w:rsid w:val="006D7E33"/>
    <w:rsid w:val="006E2E7A"/>
    <w:rsid w:val="006E2FDE"/>
    <w:rsid w:val="006F23B6"/>
    <w:rsid w:val="006F4D14"/>
    <w:rsid w:val="00701A85"/>
    <w:rsid w:val="00706CB1"/>
    <w:rsid w:val="00712C3D"/>
    <w:rsid w:val="007142DB"/>
    <w:rsid w:val="00724A46"/>
    <w:rsid w:val="00725B17"/>
    <w:rsid w:val="007267C1"/>
    <w:rsid w:val="0073102A"/>
    <w:rsid w:val="00731EB0"/>
    <w:rsid w:val="00733874"/>
    <w:rsid w:val="00734FA7"/>
    <w:rsid w:val="00737603"/>
    <w:rsid w:val="00743CA8"/>
    <w:rsid w:val="00755FA8"/>
    <w:rsid w:val="00763B1A"/>
    <w:rsid w:val="00763C42"/>
    <w:rsid w:val="0077015F"/>
    <w:rsid w:val="007715E2"/>
    <w:rsid w:val="0077249F"/>
    <w:rsid w:val="007A21E9"/>
    <w:rsid w:val="007B12C6"/>
    <w:rsid w:val="007B533F"/>
    <w:rsid w:val="007C5A0B"/>
    <w:rsid w:val="007D0263"/>
    <w:rsid w:val="007D60A5"/>
    <w:rsid w:val="007D7422"/>
    <w:rsid w:val="007E2070"/>
    <w:rsid w:val="007E383C"/>
    <w:rsid w:val="007F4473"/>
    <w:rsid w:val="007F4D37"/>
    <w:rsid w:val="007F58EC"/>
    <w:rsid w:val="007F6656"/>
    <w:rsid w:val="0080340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190"/>
    <w:rsid w:val="008377D2"/>
    <w:rsid w:val="00840701"/>
    <w:rsid w:val="00840DB2"/>
    <w:rsid w:val="0084169E"/>
    <w:rsid w:val="00845586"/>
    <w:rsid w:val="00854882"/>
    <w:rsid w:val="00860DB1"/>
    <w:rsid w:val="0087002D"/>
    <w:rsid w:val="00874B64"/>
    <w:rsid w:val="00880306"/>
    <w:rsid w:val="00883BDA"/>
    <w:rsid w:val="0088403A"/>
    <w:rsid w:val="00885986"/>
    <w:rsid w:val="00885AFA"/>
    <w:rsid w:val="00892BED"/>
    <w:rsid w:val="00897E80"/>
    <w:rsid w:val="008B14D2"/>
    <w:rsid w:val="008B71A6"/>
    <w:rsid w:val="008B7927"/>
    <w:rsid w:val="008C1326"/>
    <w:rsid w:val="008C19BE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1AFC"/>
    <w:rsid w:val="00913A08"/>
    <w:rsid w:val="00914466"/>
    <w:rsid w:val="00915BE1"/>
    <w:rsid w:val="009163BD"/>
    <w:rsid w:val="00922DD7"/>
    <w:rsid w:val="00930B4F"/>
    <w:rsid w:val="00943532"/>
    <w:rsid w:val="00944911"/>
    <w:rsid w:val="00953BF9"/>
    <w:rsid w:val="00960A11"/>
    <w:rsid w:val="009646FA"/>
    <w:rsid w:val="0098052E"/>
    <w:rsid w:val="00982368"/>
    <w:rsid w:val="00987BD8"/>
    <w:rsid w:val="009972F3"/>
    <w:rsid w:val="009A2ECC"/>
    <w:rsid w:val="009B582C"/>
    <w:rsid w:val="009C0FB6"/>
    <w:rsid w:val="009D2C5A"/>
    <w:rsid w:val="009D6BE5"/>
    <w:rsid w:val="009D6F26"/>
    <w:rsid w:val="009E1489"/>
    <w:rsid w:val="009E1AD7"/>
    <w:rsid w:val="009F10B6"/>
    <w:rsid w:val="009F165A"/>
    <w:rsid w:val="00A010D3"/>
    <w:rsid w:val="00A023D8"/>
    <w:rsid w:val="00A04D08"/>
    <w:rsid w:val="00A12FC9"/>
    <w:rsid w:val="00A164C5"/>
    <w:rsid w:val="00A16BD0"/>
    <w:rsid w:val="00A22F64"/>
    <w:rsid w:val="00A23855"/>
    <w:rsid w:val="00A26CC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421"/>
    <w:rsid w:val="00AA72C9"/>
    <w:rsid w:val="00AB1105"/>
    <w:rsid w:val="00AB1213"/>
    <w:rsid w:val="00AC7361"/>
    <w:rsid w:val="00AD0B26"/>
    <w:rsid w:val="00AD1136"/>
    <w:rsid w:val="00AD2F1F"/>
    <w:rsid w:val="00AD33E7"/>
    <w:rsid w:val="00AE4586"/>
    <w:rsid w:val="00AE7FE6"/>
    <w:rsid w:val="00AF756F"/>
    <w:rsid w:val="00B010DE"/>
    <w:rsid w:val="00B04A51"/>
    <w:rsid w:val="00B14D6B"/>
    <w:rsid w:val="00B2335B"/>
    <w:rsid w:val="00B25349"/>
    <w:rsid w:val="00B4730A"/>
    <w:rsid w:val="00B51A2E"/>
    <w:rsid w:val="00B52C93"/>
    <w:rsid w:val="00B67E52"/>
    <w:rsid w:val="00B8406E"/>
    <w:rsid w:val="00B916EA"/>
    <w:rsid w:val="00BA5992"/>
    <w:rsid w:val="00BA6828"/>
    <w:rsid w:val="00BB3CDB"/>
    <w:rsid w:val="00BC3B39"/>
    <w:rsid w:val="00BC53FF"/>
    <w:rsid w:val="00BC7195"/>
    <w:rsid w:val="00BD1423"/>
    <w:rsid w:val="00BD4500"/>
    <w:rsid w:val="00BE04C6"/>
    <w:rsid w:val="00BF41E0"/>
    <w:rsid w:val="00C01C9F"/>
    <w:rsid w:val="00C109DB"/>
    <w:rsid w:val="00C11548"/>
    <w:rsid w:val="00C22BE2"/>
    <w:rsid w:val="00C23538"/>
    <w:rsid w:val="00C242BD"/>
    <w:rsid w:val="00C24880"/>
    <w:rsid w:val="00C27E84"/>
    <w:rsid w:val="00C30B7E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746"/>
    <w:rsid w:val="00C90B48"/>
    <w:rsid w:val="00CA5D57"/>
    <w:rsid w:val="00CB1A53"/>
    <w:rsid w:val="00CC0090"/>
    <w:rsid w:val="00CC0505"/>
    <w:rsid w:val="00CC6A16"/>
    <w:rsid w:val="00CD432D"/>
    <w:rsid w:val="00CD7DA7"/>
    <w:rsid w:val="00CF6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FC2"/>
    <w:rsid w:val="00DD2199"/>
    <w:rsid w:val="00DD4B44"/>
    <w:rsid w:val="00DE5DE0"/>
    <w:rsid w:val="00DF3A12"/>
    <w:rsid w:val="00DF6BE5"/>
    <w:rsid w:val="00E0646F"/>
    <w:rsid w:val="00E21837"/>
    <w:rsid w:val="00E21F05"/>
    <w:rsid w:val="00E264E2"/>
    <w:rsid w:val="00E26CE0"/>
    <w:rsid w:val="00E3205F"/>
    <w:rsid w:val="00E36B76"/>
    <w:rsid w:val="00E405D8"/>
    <w:rsid w:val="00E51F96"/>
    <w:rsid w:val="00E66059"/>
    <w:rsid w:val="00E67C27"/>
    <w:rsid w:val="00E67F5E"/>
    <w:rsid w:val="00E74F56"/>
    <w:rsid w:val="00E7672B"/>
    <w:rsid w:val="00E824B6"/>
    <w:rsid w:val="00E83674"/>
    <w:rsid w:val="00E84185"/>
    <w:rsid w:val="00E86A16"/>
    <w:rsid w:val="00E86F3F"/>
    <w:rsid w:val="00E87F63"/>
    <w:rsid w:val="00E957D9"/>
    <w:rsid w:val="00E95B76"/>
    <w:rsid w:val="00EA32BF"/>
    <w:rsid w:val="00EA6C1D"/>
    <w:rsid w:val="00EA7E2A"/>
    <w:rsid w:val="00EB1130"/>
    <w:rsid w:val="00EB5251"/>
    <w:rsid w:val="00EB7959"/>
    <w:rsid w:val="00EC3201"/>
    <w:rsid w:val="00EC465E"/>
    <w:rsid w:val="00EC4EFF"/>
    <w:rsid w:val="00EC6376"/>
    <w:rsid w:val="00ED4F91"/>
    <w:rsid w:val="00ED5A80"/>
    <w:rsid w:val="00EE20CF"/>
    <w:rsid w:val="00EE4167"/>
    <w:rsid w:val="00EF5C57"/>
    <w:rsid w:val="00F005CC"/>
    <w:rsid w:val="00F0372B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76E"/>
    <w:rsid w:val="00F62C36"/>
    <w:rsid w:val="00F6726F"/>
    <w:rsid w:val="00F703DC"/>
    <w:rsid w:val="00F71D68"/>
    <w:rsid w:val="00F76B42"/>
    <w:rsid w:val="00F81155"/>
    <w:rsid w:val="00F821D5"/>
    <w:rsid w:val="00F83953"/>
    <w:rsid w:val="00F83BE3"/>
    <w:rsid w:val="00F86A10"/>
    <w:rsid w:val="00F920A4"/>
    <w:rsid w:val="00F9514E"/>
    <w:rsid w:val="00F9796A"/>
    <w:rsid w:val="00FA1BB4"/>
    <w:rsid w:val="00FA577F"/>
    <w:rsid w:val="00FB03B1"/>
    <w:rsid w:val="00FB21BF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1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0B4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C90B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C90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C90B4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C90B48"/>
    <w:rPr>
      <w:b/>
      <w:bCs/>
      <w:sz w:val="20"/>
      <w:szCs w:val="20"/>
    </w:rPr>
  </w:style>
  <w:style w:type="paragraph" w:customStyle="1" w:styleId="Corpo">
    <w:name w:val="Corpo"/>
    <w:basedOn w:val="Normal"/>
    <w:qFormat/>
    <w:rsid w:val="009163BD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character" w:customStyle="1" w:styleId="normas-indices-artigo">
    <w:name w:val="normas-indices-artigo"/>
    <w:basedOn w:val="DefaultParagraphFont"/>
    <w:rsid w:val="0007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05 - Andre da Farmacia</cp:lastModifiedBy>
  <cp:revision>2</cp:revision>
  <cp:lastPrinted>2021-02-25T13:52:00Z</cp:lastPrinted>
  <dcterms:created xsi:type="dcterms:W3CDTF">2021-03-18T13:27:00Z</dcterms:created>
  <dcterms:modified xsi:type="dcterms:W3CDTF">2021-03-18T13:27:00Z</dcterms:modified>
</cp:coreProperties>
</file>