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criação do Programa Municipal Visão de Futuro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