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dispositivos que menciona na Lei Municipal nº 6.886, de 19 de julho de 2022, alterada pela Lei Municipal nº 7141 de 1 de setembro de 2023.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