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Acrescenta dispositivos que menciona na Lei Municipal nº 6.886, de 19 de julho de 2022, alterada pela Lei Municipal nº 7141 de 1 de setembro de 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