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Acrescenta dispositivos que menciona na Lei Municipal nº 6.886, de 19 de julho de 2022, alterada pela Lei Municipal nº 7141 de 1 de setembro de 2023.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