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dispositivos que menciona na Lei Municipal nº 6.886, de 19 de julho de 2022, alterada pela Lei Municipal nº 7141 de 1 de setembro de 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