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dispositivo que menciona a Lei Municipal nº 4967, de 30 de abril de 2010.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