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289/2023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Acresce paragrafo único ao art. 39 da Lei Municipal nº 3906, de 05 de dezembro de 2003.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outubro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