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 paragrafo único ao art. 39 da Lei Municipal nº 3906, de 05 de dezembro de 200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