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Acresce paragrafo único ao art. 39 da Lei Municipal nº 3906, de 05 de dezembro de 2003.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