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CF7116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165B85">
        <w:rPr>
          <w:rFonts w:ascii="Arial" w:hAnsi="Arial" w:cs="Arial"/>
          <w:lang w:val="pt"/>
        </w:rPr>
        <w:t>2</w:t>
      </w:r>
      <w:r w:rsidR="004A619B">
        <w:rPr>
          <w:rFonts w:ascii="Arial" w:hAnsi="Arial" w:cs="Arial"/>
          <w:lang w:val="pt"/>
        </w:rPr>
        <w:t>86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BF258B" w:rsidP="004A619B" w14:paraId="443B3DA2" w14:textId="32FED419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4A619B">
        <w:rPr>
          <w:rFonts w:ascii="Arial Black" w:hAnsi="Arial Black" w:cs="Arial"/>
          <w:b/>
          <w:sz w:val="24"/>
          <w:szCs w:val="24"/>
          <w:lang w:val="pt"/>
        </w:rPr>
        <w:t>NA RUA</w:t>
      </w:r>
      <w:r w:rsidRPr="004A619B" w:rsidR="004A619B">
        <w:rPr>
          <w:rFonts w:ascii="Arial Black" w:hAnsi="Arial Black" w:cs="Arial"/>
          <w:b/>
          <w:sz w:val="24"/>
          <w:szCs w:val="24"/>
          <w:lang w:val="pt"/>
        </w:rPr>
        <w:t xml:space="preserve"> Orlando </w:t>
      </w:r>
      <w:r w:rsidRPr="004A619B" w:rsidR="004A619B">
        <w:rPr>
          <w:rFonts w:ascii="Arial Black" w:hAnsi="Arial Black" w:cs="Arial"/>
          <w:b/>
          <w:sz w:val="24"/>
          <w:szCs w:val="24"/>
          <w:lang w:val="pt"/>
        </w:rPr>
        <w:t>Antônio</w:t>
      </w:r>
      <w:r w:rsidRPr="004A619B" w:rsidR="004A619B">
        <w:rPr>
          <w:rFonts w:ascii="Arial Black" w:hAnsi="Arial Black" w:cs="Arial"/>
          <w:b/>
          <w:sz w:val="24"/>
          <w:szCs w:val="24"/>
          <w:lang w:val="pt"/>
        </w:rPr>
        <w:t xml:space="preserve"> de Mattos</w:t>
      </w:r>
      <w:r w:rsidR="004A619B">
        <w:rPr>
          <w:rFonts w:ascii="Arial Black" w:hAnsi="Arial Black" w:cs="Arial"/>
          <w:b/>
          <w:sz w:val="24"/>
          <w:szCs w:val="24"/>
          <w:lang w:val="pt"/>
        </w:rPr>
        <w:t>, N°</w:t>
      </w:r>
      <w:r w:rsidRPr="004A619B" w:rsidR="004A619B">
        <w:rPr>
          <w:rFonts w:ascii="Arial Black" w:hAnsi="Arial Black" w:cs="Arial"/>
          <w:b/>
          <w:sz w:val="24"/>
          <w:szCs w:val="24"/>
          <w:lang w:val="pt"/>
        </w:rPr>
        <w:t>735</w:t>
      </w:r>
      <w:r w:rsidR="004A619B">
        <w:rPr>
          <w:rFonts w:ascii="Arial Black" w:hAnsi="Arial Black" w:cs="Arial"/>
          <w:b/>
          <w:sz w:val="24"/>
          <w:szCs w:val="24"/>
          <w:lang w:val="pt"/>
        </w:rPr>
        <w:t>, e</w:t>
      </w:r>
      <w:r w:rsidRPr="004A619B" w:rsidR="004A619B">
        <w:rPr>
          <w:rFonts w:ascii="Arial Black" w:hAnsi="Arial Black" w:cs="Arial"/>
          <w:b/>
          <w:sz w:val="24"/>
          <w:szCs w:val="24"/>
          <w:lang w:val="pt"/>
        </w:rPr>
        <w:t>squina com a rua Almirante Tamandaré</w:t>
      </w:r>
      <w:r w:rsidR="004A619B">
        <w:rPr>
          <w:rFonts w:ascii="Arial Black" w:hAnsi="Arial Black" w:cs="Arial"/>
          <w:b/>
          <w:sz w:val="24"/>
          <w:szCs w:val="24"/>
          <w:lang w:val="pt"/>
        </w:rPr>
        <w:t xml:space="preserve"> – JD </w:t>
      </w:r>
      <w:r w:rsidRPr="004A619B" w:rsidR="004A619B">
        <w:rPr>
          <w:rFonts w:ascii="Arial Black" w:hAnsi="Arial Black" w:cs="Arial"/>
          <w:b/>
          <w:sz w:val="24"/>
          <w:szCs w:val="24"/>
          <w:lang w:val="pt"/>
        </w:rPr>
        <w:t>Joao Paulo II</w:t>
      </w:r>
      <w:r w:rsidR="00BF258B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2C8902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2194560</wp:posOffset>
            </wp:positionH>
            <wp:positionV relativeFrom="paragraph">
              <wp:posOffset>105410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48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19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 w:rsidR="006A661B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1DE289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1CA11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A619B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A661B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652AA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370C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258B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A107D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93890"/>
    <w:rsid w:val="00DA15A5"/>
    <w:rsid w:val="00DC345E"/>
    <w:rsid w:val="00DD44E3"/>
    <w:rsid w:val="00DE5AA6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94C5F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2023-10-19T14:26:00Z</dcterms:created>
  <dcterms:modified xsi:type="dcterms:W3CDTF">2023-10-19T14:26:00Z</dcterms:modified>
</cp:coreProperties>
</file>