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caput do Art. 1º da Lei Municipal nº 6.886, de 19 de julho de 2022.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