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o caput do Art. 1º da Lei Municipal nº 6.886, de 19 de julho de 2022.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