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GOMES, 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de Conscientização sobre o Lúpus e dispõe sobre a Política Municipal de Conscientização e Orientação.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