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Altera a Lei Ordinária Municipal nº 7.136 de 25 de agosto de 2023 e dá outras providências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