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ltera a Lei Ordinária Municipal nº 7.136 de 25 de agosto de 2023 e dá outras providências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