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7261" w:rsidP="008E7461" w14:paraId="1AA98A64" w14:textId="199BE93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A03FF3" w:rsidR="00A03FF3">
        <w:rPr>
          <w:rFonts w:ascii="Times New Roman" w:hAnsi="Times New Roman" w:cs="Times New Roman"/>
          <w:sz w:val="28"/>
          <w:szCs w:val="28"/>
        </w:rPr>
        <w:t>Rua leonir Dutra Pereira (3), 145 -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265C62C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A03FF3">
        <w:rPr>
          <w:rFonts w:ascii="Times New Roman" w:hAnsi="Times New Roman" w:cs="Times New Roman"/>
          <w:sz w:val="28"/>
          <w:szCs w:val="28"/>
        </w:rPr>
        <w:t>9956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C63592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03FF3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87261"/>
    <w:rsid w:val="004A55DE"/>
    <w:rsid w:val="004A69FA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5F3669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1FFF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3FF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C67CF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5F17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B17E0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6E85-CDCA-458F-AC1C-532B88AF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2023-09-19T22:10:00Z</cp:lastPrinted>
  <dcterms:created xsi:type="dcterms:W3CDTF">2023-09-21T17:15:00Z</dcterms:created>
  <dcterms:modified xsi:type="dcterms:W3CDTF">2023-09-21T17:15:00Z</dcterms:modified>
</cp:coreProperties>
</file>