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alteração do inciso I do art. 112 da Resolução n° 311, de 16 de dezembro de 2020 (Regimento Interno da Câmara Municipal de Sumaré).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