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10/2023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alteração do inciso I do art. 112 da Resolução n° 311, de 16 de dezembro de 2020 (Regimento Interno da Câmara Municipal de Sumaré).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