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6829A1BC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384618">
        <w:rPr>
          <w:rFonts w:ascii="Arial" w:hAnsi="Arial" w:cs="Arial"/>
          <w:sz w:val="24"/>
          <w:szCs w:val="24"/>
        </w:rPr>
        <w:t xml:space="preserve"> estudo de implantação de semáforos de pedestre e veículos na Avenida Joao Argenton </w:t>
      </w:r>
      <w:r w:rsidR="00384618">
        <w:rPr>
          <w:rFonts w:ascii="Arial" w:hAnsi="Arial" w:cs="Arial"/>
          <w:sz w:val="24"/>
          <w:szCs w:val="24"/>
        </w:rPr>
        <w:t>cruzamento  com</w:t>
      </w:r>
      <w:r w:rsidR="00384618">
        <w:rPr>
          <w:rFonts w:ascii="Arial" w:hAnsi="Arial" w:cs="Arial"/>
          <w:sz w:val="24"/>
          <w:szCs w:val="24"/>
        </w:rPr>
        <w:t xml:space="preserve"> a rua Adolfo Caetano Andrade Vila Santana.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F6D16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3846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676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4025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65375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2023-09-19T12:56:00Z</dcterms:created>
  <dcterms:modified xsi:type="dcterms:W3CDTF">2023-09-19T12:56:00Z</dcterms:modified>
</cp:coreProperties>
</file>