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54B" w:rsidP="00C3554B" w14:paraId="3ED4D764" w14:textId="3451270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b/>
          <w:bCs/>
          <w:sz w:val="40"/>
          <w:szCs w:val="40"/>
        </w:rPr>
      </w:pPr>
      <w:permStart w:id="0" w:edGrp="everyone"/>
    </w:p>
    <w:p w:rsidR="004B1CAE" w:rsidP="004B1CAE" w14:paraId="1FDA67C6" w14:textId="6710271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B1CAE">
        <w:rPr>
          <w:rFonts w:ascii="Arial" w:hAnsi="Arial" w:cs="Arial"/>
          <w:b/>
          <w:sz w:val="28"/>
          <w:szCs w:val="28"/>
        </w:rPr>
        <w:t xml:space="preserve">EXMO. SR. PRESIDENTE DA CÂMARA MUNICIPAL DE SUMARÉ, </w:t>
      </w:r>
    </w:p>
    <w:p w:rsidR="004B1CAE" w:rsidRPr="004B1CAE" w:rsidP="004B1CAE" w14:paraId="71B9C3E0" w14:textId="777777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B1CAE" w:rsidRPr="004B1CAE" w:rsidP="004B1CAE" w14:paraId="18CBCFBA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0308">
        <w:rPr>
          <w:rFonts w:ascii="Arial" w:hAnsi="Arial" w:cs="Arial"/>
          <w:bCs/>
          <w:color w:val="000000"/>
          <w:sz w:val="24"/>
          <w:szCs w:val="24"/>
        </w:rPr>
        <w:t xml:space="preserve">É com grande preocupação que apresentamos a essa egrégia Casa de Leis a presente </w:t>
      </w:r>
      <w:r w:rsidRPr="00130308">
        <w:rPr>
          <w:rFonts w:ascii="Arial" w:hAnsi="Arial" w:cs="Arial"/>
          <w:b/>
          <w:color w:val="000000"/>
          <w:sz w:val="24"/>
          <w:szCs w:val="24"/>
        </w:rPr>
        <w:t>MOÇÃO DE APELO</w:t>
      </w:r>
      <w:r w:rsidRPr="001303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77C26">
        <w:rPr>
          <w:rFonts w:ascii="Arial" w:hAnsi="Arial" w:cs="Arial"/>
          <w:bCs/>
          <w:sz w:val="24"/>
          <w:szCs w:val="24"/>
        </w:rPr>
        <w:t xml:space="preserve">ao Governador do Estado de São Paulo, Tarcísio de Freitas, ao Presidente da Comissão de Orçamento, Finanças e Planejamento do Estado de São Paulo, </w:t>
      </w:r>
      <w:r w:rsidRPr="00B77C26">
        <w:rPr>
          <w:rFonts w:ascii="Arial" w:hAnsi="Arial" w:cs="Arial"/>
          <w:bCs/>
          <w:sz w:val="24"/>
          <w:szCs w:val="24"/>
        </w:rPr>
        <w:t>Gilmaci</w:t>
      </w:r>
      <w:r w:rsidRPr="00B77C26">
        <w:rPr>
          <w:rFonts w:ascii="Arial" w:hAnsi="Arial" w:cs="Arial"/>
          <w:bCs/>
          <w:sz w:val="24"/>
          <w:szCs w:val="24"/>
        </w:rPr>
        <w:t xml:space="preserve"> Santos, ao Presidente da Assembleia Legislativa do Estado de São Paulo, André do Prado, ao NUPEMEC/TJ-SP, Desembargadora Maria Lúcia M. </w:t>
      </w:r>
      <w:r w:rsidRPr="00B77C26">
        <w:rPr>
          <w:rFonts w:ascii="Arial" w:hAnsi="Arial" w:cs="Arial"/>
          <w:bCs/>
          <w:sz w:val="24"/>
          <w:szCs w:val="24"/>
        </w:rPr>
        <w:t>Pizzotti</w:t>
      </w:r>
      <w:r w:rsidRPr="00B77C26">
        <w:rPr>
          <w:rFonts w:ascii="Arial" w:hAnsi="Arial" w:cs="Arial"/>
          <w:bCs/>
          <w:sz w:val="24"/>
          <w:szCs w:val="24"/>
        </w:rPr>
        <w:t xml:space="preserve"> e ao Presidente do Tribunal de Justiça do Estado de São Paulo, Ricardo </w:t>
      </w:r>
      <w:r w:rsidRPr="00B77C26">
        <w:rPr>
          <w:rFonts w:ascii="Arial" w:hAnsi="Arial" w:cs="Arial"/>
          <w:bCs/>
          <w:sz w:val="24"/>
          <w:szCs w:val="24"/>
        </w:rPr>
        <w:t>Mair</w:t>
      </w:r>
      <w:r w:rsidRPr="00B77C26">
        <w:rPr>
          <w:rFonts w:ascii="Arial" w:hAnsi="Arial" w:cs="Arial"/>
          <w:bCs/>
          <w:sz w:val="24"/>
          <w:szCs w:val="24"/>
        </w:rPr>
        <w:t xml:space="preserve"> Anafe, para que adotem providências para a remuneração dos Mediadores/Conciliadores que atual na </w:t>
      </w:r>
      <w:r w:rsidRPr="004B1CAE">
        <w:rPr>
          <w:rFonts w:ascii="Arial" w:hAnsi="Arial" w:cs="Arial"/>
          <w:bCs/>
          <w:sz w:val="24"/>
          <w:szCs w:val="24"/>
        </w:rPr>
        <w:t>Política Pública de Resolução de Conflitos.</w:t>
      </w:r>
    </w:p>
    <w:p w:rsidR="004B1CAE" w:rsidRPr="004B1CAE" w:rsidP="004B1CAE" w14:paraId="5DECE045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>O Código de Processo Civil e a Lei de Mediação trazem expressamente a obrigatoriedade de remuneração de conciliadores/mediadores judiciais, e o próprio Conselho Nacional de Justiça, com base em referidas leis, fixou parâmetros de remuneração na Resolução CNJ 271/2018.</w:t>
      </w:r>
    </w:p>
    <w:p w:rsidR="004B1CAE" w:rsidRPr="004B1CAE" w:rsidP="004B1CAE" w14:paraId="63649EC4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>Entretanto, a remuneração foi esquecida e não efetivada, de modo que os conciliadores continuam trabalhando como voluntários, gerando o abandono da função e a desmotivação da própria conciliação/mediação.</w:t>
      </w:r>
    </w:p>
    <w:p w:rsidR="004B1CAE" w:rsidRPr="004B1CAE" w:rsidP="004B1CAE" w14:paraId="262BAE08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 xml:space="preserve">Nós, vereadores, apoiamos o direito e a efetividade do pagamento da remuneração, sem que a qual cria-se um entrave considerável ao bom funcionamento da qualidade e a continuidade dos serviços prestados nos </w:t>
      </w:r>
      <w:r w:rsidRPr="004B1CAE">
        <w:rPr>
          <w:rFonts w:ascii="Arial" w:hAnsi="Arial" w:cs="Arial"/>
          <w:bCs/>
          <w:sz w:val="24"/>
          <w:szCs w:val="24"/>
        </w:rPr>
        <w:t>CEJUSCs</w:t>
      </w:r>
      <w:r w:rsidRPr="004B1CAE">
        <w:rPr>
          <w:rFonts w:ascii="Arial" w:hAnsi="Arial" w:cs="Arial"/>
          <w:bCs/>
          <w:sz w:val="24"/>
          <w:szCs w:val="24"/>
        </w:rPr>
        <w:t xml:space="preserve"> (Centro Judiciário Consensual de Conflitos), um dos principais objetivos da Política Pública Judiciária Nacional de tratamento adequado dos conflitos de interesses, instituído pela Resolução nº125/2010, propiciando aos terceiros facilitadores motivação, inclusive, para aprimorar seus conhecimentos, com investimento em cursos de reciclagem e especialização, que devem ser disponibilizados pelos tribunais e exigidos pelos juízes coordenadores de CEJUSC, diante do princípio ético da competência, previsto no Código de Ética de Conciliadores e Mediadores Judiciais  (Anexo III, da Resolução 125/2010).</w:t>
      </w:r>
    </w:p>
    <w:p w:rsidR="004B1CAE" w:rsidRPr="004B1CAE" w:rsidP="004B1CAE" w14:paraId="74C020CD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>Sem recursos advindos da adequada e efetiva remuneração, não se pode cobrar investimento em cursos voltados a essa formação complementar, se não receberem a remuneração de conciliadores e mediadores, que deverá estar prevista em tabela ficada pelo Tribunal, conforme parâmetros estabelecidos pelo Conselho Nacional de Justiça; ressalvada a hipótese de conciliadores e mediadores concursados, (art.167, §6º, do CPC).</w:t>
      </w:r>
    </w:p>
    <w:p w:rsidR="004B1CAE" w:rsidRPr="004B1CAE" w:rsidP="004B1CAE" w14:paraId="09B745A6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 xml:space="preserve">No Estado de São Paulo, a Lei 15.804, de 22 de abril de 2015, tentou regulamentar a remuneração dos conciliadores e mediadores judiciais, estabelecendo o valor de 02 (duas) </w:t>
      </w:r>
      <w:r w:rsidRPr="004B1CAE">
        <w:rPr>
          <w:rFonts w:ascii="Arial" w:hAnsi="Arial" w:cs="Arial"/>
          <w:bCs/>
          <w:sz w:val="24"/>
          <w:szCs w:val="24"/>
        </w:rPr>
        <w:t>UFESPs</w:t>
      </w:r>
      <w:r w:rsidRPr="004B1CAE">
        <w:rPr>
          <w:rFonts w:ascii="Arial" w:hAnsi="Arial" w:cs="Arial"/>
          <w:bCs/>
          <w:sz w:val="24"/>
          <w:szCs w:val="24"/>
        </w:rPr>
        <w:t xml:space="preserve"> por hora, para jornadas diárias de 02, 04, 06 e 08 horas, dentro do expediente </w:t>
      </w:r>
      <w:r w:rsidRPr="004B1CAE">
        <w:rPr>
          <w:rFonts w:ascii="Arial" w:hAnsi="Arial" w:cs="Arial"/>
          <w:bCs/>
          <w:sz w:val="24"/>
          <w:szCs w:val="24"/>
        </w:rPr>
        <w:t>forense, das 09 às 19 horas, limitado ao máximo de 16 horas semanais, mas sem nenhuma progressão ou efetividade em seu pagamento.</w:t>
      </w:r>
    </w:p>
    <w:p w:rsidR="004B1CAE" w:rsidRPr="004B1CAE" w:rsidP="004B1CAE" w14:paraId="56F79771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>Assim, incentivar a remuneração digna de conciliadores e mediadores Judiciais, que tem como consequência direta, sua formação adequada e a qualidade do serviço prestado, da mesma forma que o estímulo ao uso dos métodos consensuais de solução de conflitos, conforme previsto no art. 3º do CPC, é dever de todos: magistrados, advogados, defensores públicos, membros do Ministério Público e cidadãos.</w:t>
      </w:r>
    </w:p>
    <w:p w:rsidR="004B1CAE" w:rsidRPr="004B1CAE" w:rsidP="004B1CAE" w14:paraId="7379B558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 xml:space="preserve">Dessa forma, nós do Poder Legislativo, igualmente demonstramos o quanto APOIAMOS O DIREITO AO PAGAMENTO DOS HONORÁRIOS AOS CONCILIADORES E MEDIADORES APELANDO a todos os Deputados para que aprovem a Emenda Parlamentar para que verbas sejam destinadas para tal fim, sem  a qual, cria-se um entrave considerável ao bom funcionamento da qualidade e a continuidade dos serviços prestados nos </w:t>
      </w:r>
      <w:r w:rsidRPr="004B1CAE">
        <w:rPr>
          <w:rFonts w:ascii="Arial" w:hAnsi="Arial" w:cs="Arial"/>
          <w:bCs/>
          <w:sz w:val="24"/>
          <w:szCs w:val="24"/>
        </w:rPr>
        <w:t>CEJUSCs</w:t>
      </w:r>
      <w:r w:rsidRPr="004B1CAE">
        <w:rPr>
          <w:rFonts w:ascii="Arial" w:hAnsi="Arial" w:cs="Arial"/>
          <w:bCs/>
          <w:sz w:val="24"/>
          <w:szCs w:val="24"/>
        </w:rPr>
        <w:t xml:space="preserve"> (Centros Judiciários de Solução Consensual de Conflitos), dando respeito e dignidade à função tão nobre e essencial à Justiça e à sociedade que deles se utilizam. </w:t>
      </w:r>
    </w:p>
    <w:p w:rsidR="004B1CAE" w:rsidRPr="004B1CAE" w:rsidP="004B1CAE" w14:paraId="1F2EF55F" w14:textId="77777777">
      <w:pPr>
        <w:spacing w:line="276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B1CAE">
        <w:rPr>
          <w:rFonts w:ascii="Arial" w:hAnsi="Arial" w:cs="Arial"/>
          <w:bCs/>
          <w:sz w:val="24"/>
          <w:szCs w:val="24"/>
        </w:rPr>
        <w:t>Pelas razões de mérito expostas, é que PROPOMOS a presente Moção de Apelo requerendo, aprovada, seja enviada cópia às autoridades citadas nessa moção.</w:t>
      </w:r>
    </w:p>
    <w:p w:rsidR="004B1CAE" w:rsidRPr="004B1CAE" w:rsidP="004B1CAE" w14:paraId="6787EF7D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B1CAE">
        <w:rPr>
          <w:rFonts w:ascii="Arial" w:hAnsi="Arial" w:cs="Arial"/>
          <w:bCs/>
          <w:color w:val="000000"/>
          <w:sz w:val="24"/>
          <w:szCs w:val="24"/>
        </w:rPr>
        <w:tab/>
      </w:r>
    </w:p>
    <w:p w:rsidR="004B1CAE" w:rsidRPr="004B1CAE" w:rsidP="004B1CAE" w14:paraId="64FB6E2B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1CAE" w:rsidRPr="004B1CAE" w:rsidP="004B1CAE" w14:paraId="1CBE46B5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4B1CA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250190</wp:posOffset>
            </wp:positionV>
            <wp:extent cx="1103984" cy="1562100"/>
            <wp:effectExtent l="0" t="0" r="0" b="0"/>
            <wp:wrapNone/>
            <wp:docPr id="1289858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363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CAE">
        <w:rPr>
          <w:rFonts w:ascii="Arial" w:hAnsi="Arial" w:cs="Arial"/>
          <w:sz w:val="24"/>
          <w:szCs w:val="24"/>
          <w:lang w:val="pt"/>
        </w:rPr>
        <w:t>Sala de Sessões, 19 de setembro de 2023</w:t>
      </w:r>
    </w:p>
    <w:p w:rsidR="004B1CAE" w:rsidP="004B1CAE" w14:paraId="4AAB547C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4B1CAE" w:rsidP="004B1CAE" w14:paraId="29D504DF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4B1CAE" w:rsidRPr="00B26EEE" w:rsidP="004B1CAE" w14:paraId="6C28A119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4B1CAE" w:rsidP="004B1CAE" w14:paraId="6DB91DD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B1CAE" w:rsidRPr="00400A92" w:rsidP="004B1CAE" w14:paraId="71BB82C5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721C10" w:rsidRPr="00400A92" w:rsidP="004B1CAE" w14:paraId="02C8BC19" w14:textId="7E9C4CA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lang w:val="pt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30308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101B3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919AE"/>
    <w:rsid w:val="004A256E"/>
    <w:rsid w:val="004A35A7"/>
    <w:rsid w:val="004B1CAE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E4DDA"/>
    <w:rsid w:val="008018E4"/>
    <w:rsid w:val="00807627"/>
    <w:rsid w:val="00813C20"/>
    <w:rsid w:val="00820D93"/>
    <w:rsid w:val="00822396"/>
    <w:rsid w:val="00844ECE"/>
    <w:rsid w:val="00863FAC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77C26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3308C"/>
    <w:rsid w:val="00E450E9"/>
    <w:rsid w:val="00E47606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6862-E610-4236-AC24-03DE6561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3380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2023-09-19T12:26:00Z</dcterms:created>
  <dcterms:modified xsi:type="dcterms:W3CDTF">2023-09-19T12:26:00Z</dcterms:modified>
</cp:coreProperties>
</file>