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5BC4B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DE4B24">
        <w:rPr>
          <w:rFonts w:ascii="Arial" w:hAnsi="Arial" w:cs="Arial"/>
          <w:lang w:val="pt"/>
        </w:rPr>
        <w:t>40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3F80502B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DE4B2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E4B24" w:rsidR="00DE4B24">
        <w:rPr>
          <w:rFonts w:ascii="Arial Black" w:hAnsi="Arial Black" w:cs="Arial"/>
          <w:b/>
          <w:bCs/>
          <w:sz w:val="24"/>
          <w:szCs w:val="24"/>
          <w:lang w:val="pt"/>
        </w:rPr>
        <w:t>Guaraci em frente ao número 275 - Residencial Guaíra</w:t>
      </w:r>
      <w:r w:rsidR="00DE4B24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6C4BD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498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D7BBB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00E119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948F1"/>
    <w:rsid w:val="003A2499"/>
    <w:rsid w:val="003D32B7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2220E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2023-09-18T15:16:00Z</dcterms:created>
  <dcterms:modified xsi:type="dcterms:W3CDTF">2023-09-18T15:16:00Z</dcterms:modified>
</cp:coreProperties>
</file>