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216/2023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de cobrança de mais de uma economia de água e esgoto em lote edificado em que há mais de uma residência e um único hidrômetro.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