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RODRIGO D. GOMES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criar o “Museu do Esporte Amador de Sumaré”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