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2B00E7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AA04B4">
        <w:rPr>
          <w:rFonts w:ascii="Tahoma" w:hAnsi="Tahoma" w:cs="Tahoma"/>
          <w:b/>
          <w:sz w:val="24"/>
          <w:szCs w:val="24"/>
        </w:rPr>
        <w:t>Rio Grande do Sul</w:t>
      </w:r>
      <w:r w:rsidR="003E6E49">
        <w:rPr>
          <w:rFonts w:ascii="Tahoma" w:hAnsi="Tahoma" w:cs="Tahoma"/>
          <w:b/>
          <w:sz w:val="24"/>
          <w:szCs w:val="24"/>
        </w:rPr>
        <w:t xml:space="preserve"> (CEP</w:t>
      </w:r>
      <w:r w:rsidR="00AA04B4">
        <w:rPr>
          <w:rFonts w:ascii="Tahoma" w:hAnsi="Tahoma" w:cs="Tahoma"/>
          <w:b/>
          <w:sz w:val="24"/>
          <w:szCs w:val="24"/>
        </w:rPr>
        <w:t xml:space="preserve"> 13177-100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AA04B4">
        <w:rPr>
          <w:rFonts w:ascii="Tahoma" w:hAnsi="Tahoma" w:cs="Tahoma"/>
          <w:sz w:val="24"/>
          <w:szCs w:val="24"/>
        </w:rPr>
        <w:t>320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AA04B4">
        <w:rPr>
          <w:rFonts w:ascii="Tahoma" w:hAnsi="Tahoma" w:cs="Tahoma"/>
          <w:b/>
          <w:bCs/>
          <w:sz w:val="24"/>
          <w:szCs w:val="24"/>
        </w:rPr>
        <w:t>Jardim Nova Veneza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10BD44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04B4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AA04B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34509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2021-03-08T14:09:00Z</dcterms:created>
  <dcterms:modified xsi:type="dcterms:W3CDTF">2021-03-08T14:09:00Z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