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89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JOÃO MAIORAL, LUCAS AGOSTINH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a data de 30 de novembro como o Dia Municipal do Krav Magá e Kapap no Município de Sumaré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