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crescenta dispositivos que menciona na Lei Municipal nº 6.886, de 19 de julho de 2022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